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218"/>
      </w:pPr>
      <w:r>
        <w:rPr>
          <w:w w:val="105"/>
        </w:rPr>
        <w:t>臺北市「優良志工團隊金鑽獎」推薦表</w:t>
      </w:r>
    </w:p>
    <w:p>
      <w:pPr>
        <w:spacing w:line="230" w:lineRule="auto" w:before="127" w:after="33"/>
        <w:ind w:left="878" w:right="724" w:hanging="360"/>
        <w:jc w:val="left"/>
        <w:rPr>
          <w:sz w:val="24"/>
        </w:rPr>
      </w:pPr>
      <w:r>
        <w:rPr>
          <w:spacing w:val="-1"/>
          <w:sz w:val="24"/>
        </w:rPr>
        <w:t>※ </w:t>
      </w:r>
      <w:r>
        <w:rPr>
          <w:color w:val="FF0000"/>
          <w:spacing w:val="-7"/>
          <w:sz w:val="24"/>
        </w:rPr>
        <w:t>本推薦表請提供正本 </w:t>
      </w:r>
      <w:r>
        <w:rPr>
          <w:rFonts w:ascii="MingLiU_HKSCS" w:hAnsi="MingLiU_HKSCS" w:eastAsia="MingLiU_HKSCS" w:hint="eastAsia"/>
          <w:color w:val="FF0000"/>
          <w:spacing w:val="-1"/>
          <w:sz w:val="24"/>
        </w:rPr>
        <w:t>1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pacing w:val="-5"/>
          <w:sz w:val="24"/>
        </w:rPr>
        <w:t>份 ，依下列指標項目撰寫，以 </w:t>
      </w:r>
      <w:r>
        <w:rPr>
          <w:rFonts w:ascii="MingLiU_HKSCS" w:hAnsi="MingLiU_HKSCS" w:eastAsia="MingLiU_HKSCS" w:hint="eastAsia"/>
          <w:color w:val="FF0000"/>
          <w:sz w:val="24"/>
        </w:rPr>
        <w:t>word</w:t>
      </w:r>
      <w:r>
        <w:rPr>
          <w:color w:val="FF0000"/>
          <w:sz w:val="24"/>
        </w:rPr>
        <w:t>、標楷體、</w:t>
      </w:r>
      <w:r>
        <w:rPr>
          <w:rFonts w:ascii="MingLiU_HKSCS" w:hAnsi="MingLiU_HKSCS" w:eastAsia="MingLiU_HKSCS" w:hint="eastAsia"/>
          <w:color w:val="FF0000"/>
          <w:sz w:val="24"/>
        </w:rPr>
        <w:t>12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z w:val="24"/>
        </w:rPr>
        <w:t>字型、固</w:t>
      </w:r>
      <w:r>
        <w:rPr>
          <w:color w:val="FF0000"/>
          <w:spacing w:val="-16"/>
          <w:sz w:val="24"/>
        </w:rPr>
        <w:t>定行高 </w:t>
      </w:r>
      <w:r>
        <w:rPr>
          <w:rFonts w:ascii="MingLiU_HKSCS" w:hAnsi="MingLiU_HKSCS" w:eastAsia="MingLiU_HKSCS" w:hint="eastAsia"/>
          <w:color w:val="FF0000"/>
          <w:sz w:val="24"/>
        </w:rPr>
        <w:t>20pt</w:t>
      </w:r>
      <w:r>
        <w:rPr>
          <w:rFonts w:ascii="MingLiU_HKSCS" w:hAnsi="MingLiU_HKSCS" w:eastAsia="MingLiU_HKSCS" w:hint="eastAsia"/>
          <w:color w:val="FF0000"/>
          <w:spacing w:val="-60"/>
          <w:sz w:val="24"/>
        </w:rPr>
        <w:t> </w:t>
      </w:r>
      <w:r>
        <w:rPr>
          <w:color w:val="FF0000"/>
          <w:sz w:val="24"/>
        </w:rPr>
        <w:t>橫書繕打。</w:t>
      </w: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961"/>
        <w:gridCol w:w="1320"/>
        <w:gridCol w:w="600"/>
        <w:gridCol w:w="2521"/>
      </w:tblGrid>
      <w:tr>
        <w:trPr>
          <w:trHeight w:val="661" w:hRule="atLeast"/>
        </w:trPr>
        <w:tc>
          <w:tcPr>
            <w:tcW w:w="15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68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申請日期</w:t>
            </w:r>
          </w:p>
        </w:tc>
        <w:tc>
          <w:tcPr>
            <w:tcW w:w="8402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996" w:val="left" w:leader="none"/>
                <w:tab w:pos="1596" w:val="left" w:leader="none"/>
                <w:tab w:pos="2196" w:val="left" w:leader="none"/>
              </w:tabs>
              <w:spacing w:before="206"/>
              <w:ind w:left="36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民國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659" w:hRule="atLeast"/>
        </w:trPr>
        <w:tc>
          <w:tcPr>
            <w:tcW w:w="1560" w:type="dxa"/>
            <w:tcBorders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1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志工團隊名稱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服務類別</w:t>
            </w:r>
          </w:p>
        </w:tc>
        <w:tc>
          <w:tcPr>
            <w:tcW w:w="2521" w:type="dxa"/>
            <w:tcBorders>
              <w:left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156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1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運用單位名稱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承辦人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rFonts w:ascii="MingLiU"/>
                <w:sz w:val="19"/>
              </w:rPr>
            </w:pPr>
          </w:p>
          <w:p>
            <w:pPr>
              <w:pStyle w:val="TableParagraph"/>
              <w:spacing w:before="1"/>
              <w:ind w:left="1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運用單位地址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rFonts w:ascii="MingLiU"/>
                <w:sz w:val="19"/>
              </w:rPr>
            </w:pPr>
          </w:p>
          <w:p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聯絡電話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1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團隊成立日期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67" w:val="left" w:leader="none"/>
                <w:tab w:pos="2710" w:val="left" w:leader="none"/>
              </w:tabs>
              <w:spacing w:before="148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  <w:tab/>
              <w:t>月</w:t>
              <w:tab/>
              <w:t>日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團（隊）員人數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8"/>
              <w:ind w:left="1479"/>
              <w:rPr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</w:p>
        </w:tc>
      </w:tr>
      <w:tr>
        <w:trPr>
          <w:trHeight w:val="544" w:hRule="atLeast"/>
        </w:trPr>
        <w:tc>
          <w:tcPr>
            <w:tcW w:w="9962" w:type="dxa"/>
            <w:gridSpan w:val="5"/>
            <w:tcBorders>
              <w:top w:val="single" w:sz="6" w:space="0" w:color="000000"/>
              <w:bottom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26"/>
              <w:ind w:left="4241" w:right="4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推薦單位評語</w:t>
            </w:r>
          </w:p>
        </w:tc>
      </w:tr>
      <w:tr>
        <w:trPr>
          <w:trHeight w:val="5928" w:hRule="atLeast"/>
        </w:trPr>
        <w:tc>
          <w:tcPr>
            <w:tcW w:w="99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9" w:hRule="atLeast"/>
        </w:trPr>
        <w:tc>
          <w:tcPr>
            <w:tcW w:w="684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推薦單位核章</w:t>
            </w:r>
          </w:p>
          <w:p>
            <w:pPr>
              <w:pStyle w:val="TableParagraph"/>
              <w:tabs>
                <w:tab w:pos="3629" w:val="left" w:leader="none"/>
              </w:tabs>
              <w:spacing w:line="311" w:lineRule="exact"/>
              <w:ind w:left="28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承辦人核章：</w:t>
              <w:tab/>
              <w:t>單位長官核章：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MingLiU"/>
                <w:sz w:val="21"/>
              </w:rPr>
            </w:pPr>
          </w:p>
          <w:p>
            <w:pPr>
              <w:pStyle w:val="TableParagraph"/>
              <w:tabs>
                <w:tab w:pos="2079" w:val="left" w:leader="none"/>
                <w:tab w:pos="2679" w:val="left" w:leader="none"/>
              </w:tabs>
              <w:ind w:left="38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推薦日期：</w:t>
            </w:r>
            <w:r>
              <w:rPr>
                <w:rFonts w:ascii="MingLiU" w:eastAsia="MingLiU" w:hint="eastAsia"/>
                <w:spacing w:val="120"/>
                <w:sz w:val="24"/>
              </w:rPr>
              <w:t> </w:t>
            </w:r>
            <w:r>
              <w:rPr>
                <w:rFonts w:ascii="MingLiU" w:eastAsia="MingLiU" w:hint="eastAsia"/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rFonts w:ascii="MingLiU" w:eastAsia="MingLiU" w:hint="eastAsia"/>
          <w:sz w:val="24"/>
        </w:rPr>
        <w:sectPr>
          <w:footerReference w:type="default" r:id="rId5"/>
          <w:type w:val="continuous"/>
          <w:pgSz w:w="11910" w:h="16840"/>
          <w:pgMar w:footer="1014" w:header="0" w:top="1120" w:bottom="1200" w:left="900" w:right="760"/>
          <w:pgNumType w:start="1"/>
        </w:sectPr>
      </w:pPr>
    </w:p>
    <w:p>
      <w:pPr>
        <w:pStyle w:val="Heading1"/>
        <w:spacing w:line="474" w:lineRule="exact"/>
      </w:pPr>
      <w:r>
        <w:rPr>
          <w:w w:val="105"/>
        </w:rPr>
        <w:t>臺北市「優良志工團隊金鑽獎」書面報告指標</w:t>
      </w:r>
    </w:p>
    <w:p>
      <w:pPr>
        <w:spacing w:line="408" w:lineRule="exact" w:before="0"/>
        <w:ind w:left="518" w:right="0" w:firstLine="0"/>
        <w:jc w:val="left"/>
        <w:rPr>
          <w:sz w:val="24"/>
        </w:rPr>
      </w:pPr>
      <w:r>
        <w:rPr>
          <w:spacing w:val="-1"/>
          <w:sz w:val="24"/>
        </w:rPr>
        <w:t>※ </w:t>
      </w:r>
      <w:r>
        <w:rPr>
          <w:rFonts w:ascii="Yu Gothic UI" w:hAnsi="Yu Gothic UI" w:eastAsia="Yu Gothic UI" w:hint="eastAsia"/>
          <w:b/>
          <w:spacing w:val="-1"/>
          <w:sz w:val="24"/>
        </w:rPr>
        <w:t>請</w:t>
      </w:r>
      <w:r>
        <w:rPr>
          <w:spacing w:val="-5"/>
          <w:sz w:val="24"/>
        </w:rPr>
        <w:t>依下列指標項目撰寫，以 </w:t>
      </w:r>
      <w:r>
        <w:rPr>
          <w:rFonts w:ascii="Times New Roman" w:hAnsi="Times New Roman" w:eastAsia="Times New Roman"/>
          <w:sz w:val="24"/>
        </w:rPr>
        <w:t>wor</w:t>
      </w:r>
      <w:r>
        <w:rPr>
          <w:rFonts w:ascii="MingLiU_HKSCS" w:hAnsi="MingLiU_HKSCS" w:eastAsia="MingLiU_HKSCS" w:hint="eastAsia"/>
          <w:sz w:val="24"/>
        </w:rPr>
        <w:t>d</w:t>
      </w:r>
      <w:r>
        <w:rPr>
          <w:sz w:val="24"/>
        </w:rPr>
        <w:t>、標楷體、</w:t>
      </w:r>
      <w:r>
        <w:rPr>
          <w:rFonts w:ascii="Times New Roman" w:hAnsi="Times New Roman" w:eastAsia="Times New Roman"/>
          <w:sz w:val="24"/>
        </w:rPr>
        <w:t>14 </w:t>
      </w:r>
      <w:r>
        <w:rPr>
          <w:spacing w:val="-8"/>
          <w:sz w:val="24"/>
        </w:rPr>
        <w:t>字型、固定行高 </w:t>
      </w:r>
      <w:r>
        <w:rPr>
          <w:rFonts w:ascii="Times New Roman" w:hAnsi="Times New Roman" w:eastAsia="Times New Roman"/>
          <w:sz w:val="24"/>
        </w:rPr>
        <w:t>24pt</w:t>
      </w:r>
      <w:r>
        <w:rPr>
          <w:rFonts w:ascii="Times New Roman" w:hAnsi="Times New Roman" w:eastAsia="Times New Roman"/>
          <w:spacing w:val="1"/>
          <w:sz w:val="24"/>
        </w:rPr>
        <w:t> </w:t>
      </w:r>
      <w:r>
        <w:rPr>
          <w:sz w:val="24"/>
        </w:rPr>
        <w:t>橫書繕打。</w:t>
      </w:r>
    </w:p>
    <w:p>
      <w:pPr>
        <w:pStyle w:val="BodyText"/>
        <w:spacing w:line="295" w:lineRule="auto" w:before="65"/>
        <w:ind w:left="1238" w:right="654" w:hanging="720"/>
      </w:pPr>
      <w:r>
        <w:rPr>
          <w:spacing w:val="-7"/>
        </w:rPr>
        <w:t>一、 志工基本資料建置於臺北市志工管理整合平台比例、投保志工意外保</w:t>
      </w:r>
      <w:r>
        <w:rPr/>
        <w:t>險比例及隊員領有紀錄冊比例（</w:t>
      </w:r>
      <w:r>
        <w:rPr>
          <w:rFonts w:ascii="MingLiU_HKSCS" w:eastAsia="MingLiU_HKSCS" w:hint="eastAsia"/>
        </w:rPr>
        <w:t>15</w:t>
      </w:r>
      <w:r>
        <w:rPr/>
        <w:t>％）</w:t>
      </w:r>
    </w:p>
    <w:p>
      <w:pPr>
        <w:pStyle w:val="BodyText"/>
        <w:spacing w:line="388" w:lineRule="exact" w:before="0"/>
        <w:ind w:left="518" w:firstLine="0"/>
      </w:pPr>
      <w:r>
        <w:rPr>
          <w:w w:val="100"/>
        </w:rPr>
        <w:t>二、</w:t>
      </w:r>
      <w:r>
        <w:rPr>
          <w:spacing w:val="18"/>
        </w:rPr>
        <w:t> </w:t>
      </w:r>
      <w:r>
        <w:rPr>
          <w:spacing w:val="-1"/>
          <w:w w:val="100"/>
        </w:rPr>
        <w:t>組織功能</w:t>
      </w:r>
      <w:r>
        <w:rPr>
          <w:w w:val="100"/>
        </w:rPr>
        <w:t>（</w:t>
      </w:r>
      <w:r>
        <w:rPr>
          <w:rFonts w:ascii="MingLiU_HKSCS" w:eastAsia="MingLiU_HKSCS" w:hint="eastAsia"/>
          <w:spacing w:val="-2"/>
          <w:w w:val="100"/>
        </w:rPr>
        <w:t>1</w:t>
      </w:r>
      <w:r>
        <w:rPr>
          <w:rFonts w:ascii="MingLiU_HKSCS" w:eastAsia="MingLiU_HKSCS" w:hint="eastAsia"/>
          <w:spacing w:val="-1"/>
          <w:w w:val="100"/>
        </w:rPr>
        <w:t>5</w:t>
      </w:r>
      <w:r>
        <w:rPr>
          <w:w w:val="100"/>
        </w:rPr>
        <w:t>％</w:t>
      </w:r>
      <w:r>
        <w:rPr>
          <w:spacing w:val="-140"/>
          <w:w w:val="100"/>
        </w:rPr>
        <w:t>）</w:t>
      </w:r>
      <w:r>
        <w:rPr>
          <w:w w:val="100"/>
        </w:rPr>
        <w:t>：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88" w:after="0"/>
        <w:ind w:left="1358" w:right="0" w:hanging="361"/>
        <w:jc w:val="left"/>
        <w:rPr>
          <w:sz w:val="28"/>
        </w:rPr>
      </w:pPr>
      <w:r>
        <w:rPr>
          <w:sz w:val="28"/>
        </w:rPr>
        <w:t>年度計畫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89" w:after="0"/>
        <w:ind w:left="1358" w:right="0" w:hanging="358"/>
        <w:jc w:val="left"/>
        <w:rPr>
          <w:sz w:val="28"/>
        </w:rPr>
      </w:pPr>
      <w:r>
        <w:rPr>
          <w:spacing w:val="-1"/>
          <w:sz w:val="28"/>
        </w:rPr>
        <w:t>對組織文件、團體紀錄、會議紀錄等文件之建檔及保存情形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88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團隊幹部遴選作業方式及定期改選情形、次數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89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團隊財務與文書管理處理情形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95" w:lineRule="auto" w:before="89" w:after="0"/>
        <w:ind w:left="518" w:right="4127" w:firstLine="480"/>
        <w:jc w:val="left"/>
        <w:rPr>
          <w:sz w:val="28"/>
        </w:rPr>
      </w:pPr>
      <w:r>
        <w:rPr>
          <w:spacing w:val="-1"/>
          <w:sz w:val="28"/>
        </w:rPr>
        <w:t>志願服務工作內容及服務規定訂定情形</w:t>
      </w:r>
      <w:r>
        <w:rPr>
          <w:w w:val="100"/>
          <w:sz w:val="28"/>
        </w:rPr>
        <w:t>三、</w:t>
      </w:r>
      <w:r>
        <w:rPr>
          <w:spacing w:val="18"/>
          <w:sz w:val="28"/>
        </w:rPr>
        <w:t> </w:t>
      </w:r>
      <w:r>
        <w:rPr>
          <w:spacing w:val="-1"/>
          <w:w w:val="100"/>
          <w:sz w:val="28"/>
        </w:rPr>
        <w:t>服務績效</w:t>
      </w:r>
      <w:r>
        <w:rPr>
          <w:w w:val="100"/>
          <w:sz w:val="28"/>
        </w:rPr>
        <w:t>（</w:t>
      </w:r>
      <w:r>
        <w:rPr>
          <w:rFonts w:ascii="MingLiU_HKSCS" w:eastAsia="MingLiU_HKSCS" w:hint="eastAsia"/>
          <w:spacing w:val="-2"/>
          <w:w w:val="100"/>
          <w:sz w:val="28"/>
        </w:rPr>
        <w:t>3</w:t>
      </w:r>
      <w:r>
        <w:rPr>
          <w:rFonts w:ascii="MingLiU_HKSCS" w:eastAsia="MingLiU_HKSCS" w:hint="eastAsia"/>
          <w:spacing w:val="-1"/>
          <w:w w:val="100"/>
          <w:sz w:val="28"/>
        </w:rPr>
        <w:t>0</w:t>
      </w:r>
      <w:r>
        <w:rPr>
          <w:w w:val="100"/>
          <w:sz w:val="28"/>
        </w:rPr>
        <w:t>％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：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388" w:lineRule="exact" w:before="0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年度工作計畫或相關服務計畫執行成果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88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配合運用單位推展服務之績效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88" w:after="0"/>
        <w:ind w:left="1358" w:right="0" w:hanging="361"/>
        <w:jc w:val="left"/>
        <w:rPr>
          <w:sz w:val="28"/>
        </w:rPr>
      </w:pPr>
      <w:r>
        <w:rPr>
          <w:sz w:val="28"/>
        </w:rPr>
        <w:t>配合其他相關機構推展服務之績效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89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提供創新方案或工作方法，以提昇服務品質與績效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390" w:lineRule="exact" w:before="89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結合及運用其他相關社會資源</w:t>
      </w:r>
    </w:p>
    <w:p>
      <w:pPr>
        <w:spacing w:line="511" w:lineRule="exact" w:before="0"/>
        <w:ind w:left="518" w:right="0" w:firstLine="0"/>
        <w:jc w:val="left"/>
        <w:rPr>
          <w:rFonts w:ascii="Yu Gothic UI" w:eastAsia="Yu Gothic UI" w:hint="eastAsia"/>
          <w:b/>
          <w:sz w:val="28"/>
        </w:rPr>
      </w:pPr>
      <w:r>
        <w:rPr>
          <w:w w:val="100"/>
          <w:sz w:val="28"/>
        </w:rPr>
        <w:t>四、</w:t>
      </w:r>
      <w:r>
        <w:rPr>
          <w:spacing w:val="18"/>
          <w:sz w:val="28"/>
        </w:rPr>
        <w:t> </w:t>
      </w:r>
      <w:r>
        <w:rPr>
          <w:spacing w:val="-1"/>
          <w:w w:val="100"/>
          <w:sz w:val="28"/>
        </w:rPr>
        <w:t>教育訓練</w:t>
      </w:r>
      <w:r>
        <w:rPr>
          <w:w w:val="100"/>
          <w:sz w:val="28"/>
        </w:rPr>
        <w:t>（</w:t>
      </w:r>
      <w:r>
        <w:rPr>
          <w:rFonts w:ascii="MingLiU_HKSCS" w:eastAsia="MingLiU_HKSCS" w:hint="eastAsia"/>
          <w:spacing w:val="-2"/>
          <w:w w:val="100"/>
          <w:sz w:val="28"/>
        </w:rPr>
        <w:t>1</w:t>
      </w:r>
      <w:r>
        <w:rPr>
          <w:rFonts w:ascii="MingLiU_HKSCS" w:eastAsia="MingLiU_HKSCS" w:hint="eastAsia"/>
          <w:spacing w:val="-1"/>
          <w:w w:val="100"/>
          <w:sz w:val="28"/>
        </w:rPr>
        <w:t>5</w:t>
      </w:r>
      <w:r>
        <w:rPr>
          <w:w w:val="100"/>
          <w:sz w:val="28"/>
        </w:rPr>
        <w:t>％</w:t>
      </w:r>
      <w:r>
        <w:rPr>
          <w:spacing w:val="-140"/>
          <w:w w:val="100"/>
          <w:sz w:val="28"/>
        </w:rPr>
        <w:t>）</w:t>
      </w:r>
      <w:r>
        <w:rPr>
          <w:spacing w:val="-3"/>
          <w:w w:val="100"/>
          <w:sz w:val="28"/>
        </w:rPr>
        <w:t>：</w:t>
      </w:r>
      <w:r>
        <w:rPr>
          <w:rFonts w:ascii="Yu Gothic UI" w:eastAsia="Yu Gothic UI" w:hint="eastAsia"/>
          <w:b/>
          <w:w w:val="100"/>
          <w:sz w:val="28"/>
        </w:rPr>
        <w:t>提供</w:t>
      </w:r>
      <w:r>
        <w:rPr>
          <w:rFonts w:ascii="Yu Gothic UI" w:eastAsia="Yu Gothic UI" w:hint="eastAsia"/>
          <w:b/>
          <w:spacing w:val="-8"/>
          <w:sz w:val="28"/>
        </w:rPr>
        <w:t> </w:t>
      </w:r>
      <w:r>
        <w:rPr>
          <w:rFonts w:ascii="Yu Gothic UI" w:eastAsia="Yu Gothic UI" w:hint="eastAsia"/>
          <w:b/>
          <w:w w:val="90"/>
          <w:sz w:val="28"/>
        </w:rPr>
        <w:t>3</w:t>
      </w:r>
      <w:r>
        <w:rPr>
          <w:rFonts w:ascii="Yu Gothic UI" w:eastAsia="Yu Gothic UI" w:hint="eastAsia"/>
          <w:b/>
          <w:spacing w:val="-9"/>
          <w:sz w:val="28"/>
        </w:rPr>
        <w:t> </w:t>
      </w:r>
      <w:r>
        <w:rPr>
          <w:rFonts w:ascii="Yu Gothic UI" w:eastAsia="Yu Gothic UI" w:hint="eastAsia"/>
          <w:b/>
          <w:w w:val="100"/>
          <w:sz w:val="28"/>
        </w:rPr>
        <w:t>年內資料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</w:tabs>
        <w:spacing w:line="240" w:lineRule="auto" w:before="59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志工參訓情形（</w:t>
      </w:r>
      <w:r>
        <w:rPr>
          <w:sz w:val="28"/>
        </w:rPr>
        <w:t>含志工參加各項訓練之時數、次數等）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</w:tabs>
        <w:spacing w:line="295" w:lineRule="auto" w:before="89" w:after="0"/>
        <w:ind w:left="518" w:right="2167" w:firstLine="480"/>
        <w:jc w:val="left"/>
        <w:rPr>
          <w:sz w:val="28"/>
        </w:rPr>
      </w:pPr>
      <w:r>
        <w:rPr>
          <w:sz w:val="28"/>
        </w:rPr>
        <w:t>辦理在職訓練情形（含提供訓練資訊、時數、次數等）</w:t>
      </w:r>
      <w:r>
        <w:rPr>
          <w:spacing w:val="-137"/>
          <w:sz w:val="28"/>
        </w:rPr>
        <w:t> </w:t>
      </w:r>
      <w:r>
        <w:rPr>
          <w:w w:val="100"/>
          <w:sz w:val="28"/>
        </w:rPr>
        <w:t>五、</w:t>
      </w:r>
      <w:r>
        <w:rPr>
          <w:spacing w:val="18"/>
          <w:sz w:val="28"/>
        </w:rPr>
        <w:t> </w:t>
      </w:r>
      <w:r>
        <w:rPr>
          <w:spacing w:val="-2"/>
          <w:w w:val="100"/>
          <w:sz w:val="28"/>
        </w:rPr>
        <w:t>服務倫理與文化</w:t>
      </w:r>
      <w:r>
        <w:rPr>
          <w:w w:val="100"/>
          <w:sz w:val="28"/>
        </w:rPr>
        <w:t>（</w:t>
      </w:r>
      <w:r>
        <w:rPr>
          <w:rFonts w:ascii="MingLiU_HKSCS" w:eastAsia="MingLiU_HKSCS" w:hint="eastAsia"/>
          <w:spacing w:val="-2"/>
          <w:w w:val="100"/>
          <w:sz w:val="28"/>
        </w:rPr>
        <w:t>15</w:t>
      </w:r>
      <w:r>
        <w:rPr>
          <w:w w:val="100"/>
          <w:sz w:val="28"/>
        </w:rPr>
        <w:t>％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：</w:t>
      </w:r>
    </w:p>
    <w:p>
      <w:pPr>
        <w:pStyle w:val="ListParagraph"/>
        <w:numPr>
          <w:ilvl w:val="0"/>
          <w:numId w:val="4"/>
        </w:numPr>
        <w:tabs>
          <w:tab w:pos="1359" w:val="left" w:leader="none"/>
        </w:tabs>
        <w:spacing w:line="388" w:lineRule="exact" w:before="0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服務認同感及持續性</w:t>
      </w:r>
      <w:r>
        <w:rPr>
          <w:sz w:val="28"/>
        </w:rPr>
        <w:t>（如成長率、流失率等）</w:t>
      </w:r>
    </w:p>
    <w:p>
      <w:pPr>
        <w:pStyle w:val="ListParagraph"/>
        <w:numPr>
          <w:ilvl w:val="0"/>
          <w:numId w:val="4"/>
        </w:numPr>
        <w:tabs>
          <w:tab w:pos="1359" w:val="left" w:leader="none"/>
        </w:tabs>
        <w:spacing w:line="240" w:lineRule="auto" w:before="89" w:after="0"/>
        <w:ind w:left="1358" w:right="0" w:hanging="361"/>
        <w:jc w:val="left"/>
        <w:rPr>
          <w:sz w:val="28"/>
        </w:rPr>
      </w:pPr>
      <w:r>
        <w:rPr>
          <w:spacing w:val="-1"/>
          <w:sz w:val="28"/>
        </w:rPr>
        <w:t>團隊與運用單位之互動關係</w:t>
      </w:r>
      <w:r>
        <w:rPr>
          <w:sz w:val="28"/>
        </w:rPr>
        <w:t>（召開工作協調會報、督導制度等）</w:t>
      </w:r>
    </w:p>
    <w:p>
      <w:pPr>
        <w:pStyle w:val="ListParagraph"/>
        <w:numPr>
          <w:ilvl w:val="0"/>
          <w:numId w:val="4"/>
        </w:numPr>
        <w:tabs>
          <w:tab w:pos="1359" w:val="left" w:leader="none"/>
        </w:tabs>
        <w:spacing w:line="295" w:lineRule="auto" w:before="88" w:after="0"/>
        <w:ind w:left="518" w:right="1045" w:firstLine="480"/>
        <w:jc w:val="left"/>
        <w:rPr>
          <w:sz w:val="28"/>
        </w:rPr>
      </w:pPr>
      <w:r>
        <w:rPr>
          <w:spacing w:val="-1"/>
          <w:sz w:val="28"/>
        </w:rPr>
        <w:t>志工間互動關係</w:t>
      </w:r>
      <w:r>
        <w:rPr>
          <w:sz w:val="28"/>
        </w:rPr>
        <w:t>（如召開團集會、聯誼活動、內部溝通方式等）</w:t>
      </w:r>
      <w:r>
        <w:rPr>
          <w:spacing w:val="-137"/>
          <w:sz w:val="28"/>
        </w:rPr>
        <w:t> </w:t>
      </w:r>
      <w:r>
        <w:rPr>
          <w:w w:val="100"/>
          <w:sz w:val="28"/>
        </w:rPr>
        <w:t>六、</w:t>
      </w:r>
      <w:r>
        <w:rPr>
          <w:spacing w:val="18"/>
          <w:sz w:val="28"/>
        </w:rPr>
        <w:t> </w:t>
      </w:r>
      <w:r>
        <w:rPr>
          <w:spacing w:val="-1"/>
          <w:w w:val="100"/>
          <w:sz w:val="28"/>
        </w:rPr>
        <w:t>特殊貢獻</w:t>
      </w:r>
      <w:r>
        <w:rPr>
          <w:w w:val="100"/>
          <w:sz w:val="28"/>
        </w:rPr>
        <w:t>（</w:t>
      </w:r>
      <w:r>
        <w:rPr>
          <w:rFonts w:ascii="MingLiU_HKSCS" w:eastAsia="MingLiU_HKSCS" w:hint="eastAsia"/>
          <w:spacing w:val="-2"/>
          <w:w w:val="100"/>
          <w:sz w:val="28"/>
        </w:rPr>
        <w:t>1</w:t>
      </w:r>
      <w:r>
        <w:rPr>
          <w:rFonts w:ascii="MingLiU_HKSCS" w:eastAsia="MingLiU_HKSCS" w:hint="eastAsia"/>
          <w:spacing w:val="-1"/>
          <w:w w:val="100"/>
          <w:sz w:val="28"/>
        </w:rPr>
        <w:t>0</w:t>
      </w:r>
      <w:r>
        <w:rPr>
          <w:w w:val="100"/>
          <w:sz w:val="28"/>
        </w:rPr>
        <w:t>％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：</w:t>
      </w:r>
    </w:p>
    <w:p>
      <w:pPr>
        <w:spacing w:after="0" w:line="295" w:lineRule="auto"/>
        <w:jc w:val="left"/>
        <w:rPr>
          <w:sz w:val="28"/>
        </w:rPr>
        <w:sectPr>
          <w:pgSz w:w="11910" w:h="16840"/>
          <w:pgMar w:header="0" w:footer="1014" w:top="1040" w:bottom="1200" w:left="900" w:right="760"/>
        </w:sectPr>
      </w:pPr>
    </w:p>
    <w:p>
      <w:pPr>
        <w:pStyle w:val="Heading1"/>
        <w:ind w:left="1843"/>
      </w:pPr>
      <w:r>
        <w:rPr>
          <w:w w:val="105"/>
        </w:rPr>
        <w:t>臺北市</w:t>
      </w:r>
      <w:r>
        <w:rPr>
          <w:w w:val="115"/>
        </w:rPr>
        <w:t>「優</w:t>
      </w:r>
      <w:r>
        <w:rPr>
          <w:w w:val="105"/>
        </w:rPr>
        <w:t>良志工團隊金鑽</w:t>
      </w:r>
      <w:r>
        <w:rPr>
          <w:w w:val="115"/>
        </w:rPr>
        <w:t>獎」</w:t>
      </w:r>
      <w:r>
        <w:rPr>
          <w:w w:val="105"/>
        </w:rPr>
        <w:t>服務照片</w:t>
      </w:r>
    </w:p>
    <w:p>
      <w:pPr>
        <w:spacing w:before="113" w:after="32"/>
        <w:ind w:left="518" w:right="0" w:firstLine="0"/>
        <w:jc w:val="left"/>
        <w:rPr>
          <w:sz w:val="24"/>
        </w:rPr>
      </w:pPr>
      <w:r>
        <w:rPr>
          <w:color w:val="FF0000"/>
          <w:spacing w:val="-5"/>
          <w:w w:val="95"/>
          <w:sz w:val="24"/>
        </w:rPr>
        <w:t>※請提供一式 </w:t>
      </w:r>
      <w:r>
        <w:rPr>
          <w:rFonts w:ascii="MingLiU_HKSCS" w:hAnsi="MingLiU_HKSCS" w:eastAsia="MingLiU_HKSCS" w:hint="eastAsia"/>
          <w:color w:val="FF0000"/>
          <w:w w:val="95"/>
          <w:sz w:val="24"/>
        </w:rPr>
        <w:t>1</w:t>
      </w:r>
      <w:r>
        <w:rPr>
          <w:rFonts w:ascii="MingLiU_HKSCS" w:hAnsi="MingLiU_HKSCS" w:eastAsia="MingLiU_HKSCS" w:hint="eastAsia"/>
          <w:color w:val="FF0000"/>
          <w:spacing w:val="-27"/>
          <w:w w:val="95"/>
          <w:sz w:val="24"/>
        </w:rPr>
        <w:t> </w:t>
      </w:r>
      <w:r>
        <w:rPr>
          <w:color w:val="FF0000"/>
          <w:w w:val="95"/>
          <w:sz w:val="24"/>
        </w:rPr>
        <w:t>份</w:t>
      </w:r>
    </w:p>
    <w:tbl>
      <w:tblPr>
        <w:tblW w:w="0" w:type="auto"/>
        <w:jc w:val="left"/>
        <w:tblInd w:w="50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7922"/>
      </w:tblGrid>
      <w:tr>
        <w:trPr>
          <w:trHeight w:val="497" w:hRule="atLeast"/>
        </w:trPr>
        <w:tc>
          <w:tcPr>
            <w:tcW w:w="145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77" w:lineRule="exact"/>
              <w:ind w:left="131" w:right="118"/>
              <w:jc w:val="center"/>
              <w:rPr>
                <w:rFonts w:ascii="MingLiU" w:eastAsia="MingLiU" w:hint="eastAsia"/>
                <w:sz w:val="28"/>
              </w:rPr>
            </w:pPr>
            <w:r>
              <w:rPr>
                <w:rFonts w:ascii="MingLiU" w:eastAsia="MingLiU" w:hint="eastAsia"/>
                <w:sz w:val="28"/>
              </w:rPr>
              <w:t>照片說明</w:t>
            </w:r>
          </w:p>
        </w:tc>
        <w:tc>
          <w:tcPr>
            <w:tcW w:w="79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720" w:hRule="atLeast"/>
        </w:trPr>
        <w:tc>
          <w:tcPr>
            <w:tcW w:w="93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90" w:hRule="atLeast"/>
        </w:trPr>
        <w:tc>
          <w:tcPr>
            <w:tcW w:w="145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77" w:lineRule="exact"/>
              <w:ind w:left="131" w:right="118"/>
              <w:jc w:val="center"/>
              <w:rPr>
                <w:rFonts w:ascii="MingLiU" w:eastAsia="MingLiU" w:hint="eastAsia"/>
                <w:sz w:val="28"/>
              </w:rPr>
            </w:pPr>
            <w:r>
              <w:rPr>
                <w:rFonts w:ascii="MingLiU" w:eastAsia="MingLiU" w:hint="eastAsia"/>
                <w:sz w:val="28"/>
              </w:rPr>
              <w:t>照片說明</w:t>
            </w:r>
          </w:p>
        </w:tc>
        <w:tc>
          <w:tcPr>
            <w:tcW w:w="79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903" w:hRule="atLeast"/>
        </w:trPr>
        <w:tc>
          <w:tcPr>
            <w:tcW w:w="93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header="0" w:footer="1014" w:top="1120" w:bottom="1655" w:left="900" w:right="760"/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195"/>
        <w:gridCol w:w="1563"/>
        <w:gridCol w:w="962"/>
        <w:gridCol w:w="720"/>
        <w:gridCol w:w="1318"/>
        <w:gridCol w:w="1080"/>
        <w:gridCol w:w="2403"/>
      </w:tblGrid>
      <w:tr>
        <w:trPr>
          <w:trHeight w:val="527" w:hRule="atLeast"/>
        </w:trPr>
        <w:tc>
          <w:tcPr>
            <w:tcW w:w="9961" w:type="dxa"/>
            <w:gridSpan w:val="8"/>
          </w:tcPr>
          <w:p>
            <w:pPr>
              <w:pStyle w:val="TableParagraph"/>
              <w:spacing w:line="482" w:lineRule="exact"/>
              <w:ind w:left="1584" w:right="1570"/>
              <w:jc w:val="center"/>
              <w:rPr>
                <w:b/>
                <w:sz w:val="32"/>
              </w:rPr>
            </w:pPr>
            <w:r>
              <w:rPr>
                <w:b/>
                <w:w w:val="105"/>
                <w:sz w:val="32"/>
              </w:rPr>
              <w:t>臺北市</w:t>
            </w:r>
            <w:r>
              <w:rPr>
                <w:b/>
                <w:w w:val="110"/>
                <w:sz w:val="32"/>
              </w:rPr>
              <w:t>「</w:t>
            </w:r>
            <w:r>
              <w:rPr>
                <w:b/>
                <w:w w:val="105"/>
                <w:sz w:val="32"/>
              </w:rPr>
              <w:t>優良志工團隊金鑽獎</w:t>
            </w:r>
            <w:r>
              <w:rPr>
                <w:b/>
                <w:w w:val="110"/>
                <w:sz w:val="32"/>
              </w:rPr>
              <w:t>」幹</w:t>
            </w:r>
            <w:r>
              <w:rPr>
                <w:b/>
                <w:w w:val="105"/>
                <w:sz w:val="32"/>
              </w:rPr>
              <w:t>部及團員名冊</w:t>
            </w:r>
          </w:p>
        </w:tc>
      </w:tr>
      <w:tr>
        <w:trPr>
          <w:trHeight w:val="700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2"/>
              <w:ind w:left="99" w:right="90"/>
              <w:jc w:val="center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序號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82"/>
              <w:ind w:left="178" w:right="163"/>
              <w:jc w:val="center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職稱</w:t>
            </w:r>
          </w:p>
        </w:tc>
        <w:tc>
          <w:tcPr>
            <w:tcW w:w="1563" w:type="dxa"/>
          </w:tcPr>
          <w:p>
            <w:pPr>
              <w:pStyle w:val="TableParagraph"/>
              <w:spacing w:before="182"/>
              <w:ind w:left="522" w:right="505"/>
              <w:jc w:val="center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姓名</w:t>
            </w:r>
          </w:p>
        </w:tc>
        <w:tc>
          <w:tcPr>
            <w:tcW w:w="962" w:type="dxa"/>
          </w:tcPr>
          <w:p>
            <w:pPr>
              <w:pStyle w:val="TableParagraph"/>
              <w:spacing w:before="182"/>
              <w:ind w:left="242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性別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left="120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年齡</w:t>
            </w:r>
          </w:p>
        </w:tc>
        <w:tc>
          <w:tcPr>
            <w:tcW w:w="1318" w:type="dxa"/>
          </w:tcPr>
          <w:p>
            <w:pPr>
              <w:pStyle w:val="TableParagraph"/>
              <w:spacing w:before="182"/>
              <w:ind w:left="178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服務年資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2"/>
              <w:ind w:left="60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服務時數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2"/>
              <w:ind w:left="123"/>
              <w:rPr>
                <w:rFonts w:ascii="MingLiU" w:eastAsia="MingLiU" w:hint="eastAsia"/>
                <w:sz w:val="24"/>
              </w:rPr>
            </w:pPr>
            <w:r>
              <w:rPr>
                <w:rFonts w:ascii="MingLiU" w:eastAsia="MingLiU" w:hint="eastAsia"/>
                <w:sz w:val="24"/>
              </w:rPr>
              <w:t>志願服務紀錄冊字號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1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48" w:lineRule="exact"/>
              <w:ind w:left="181" w:right="163"/>
              <w:jc w:val="center"/>
              <w:rPr>
                <w:b/>
                <w:sz w:val="24"/>
              </w:rPr>
            </w:pPr>
            <w:r>
              <w:rPr>
                <w:b/>
                <w:spacing w:val="-80"/>
                <w:sz w:val="24"/>
              </w:rPr>
              <w:t>團（隊）長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2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3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6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4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5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6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7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8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11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w w:val="100"/>
                <w:sz w:val="28"/>
              </w:rPr>
              <w:t>9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10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11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12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13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14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65" w:hRule="atLeast"/>
        </w:trPr>
        <w:tc>
          <w:tcPr>
            <w:tcW w:w="72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375" w:lineRule="exact"/>
              <w:ind w:left="99" w:right="89"/>
              <w:jc w:val="center"/>
              <w:rPr>
                <w:rFonts w:ascii="MingLiU_HKSCS"/>
                <w:sz w:val="28"/>
              </w:rPr>
            </w:pPr>
            <w:r>
              <w:rPr>
                <w:rFonts w:ascii="MingLiU_HKSCS"/>
                <w:sz w:val="28"/>
              </w:rPr>
              <w:t>15</w:t>
            </w:r>
          </w:p>
        </w:tc>
        <w:tc>
          <w:tcPr>
            <w:tcW w:w="119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before="14"/>
        <w:ind w:left="518" w:right="0" w:firstLine="0"/>
        <w:jc w:val="left"/>
        <w:rPr>
          <w:sz w:val="24"/>
        </w:rPr>
      </w:pPr>
      <w:r>
        <w:rPr>
          <w:sz w:val="24"/>
        </w:rPr>
        <w:t>※不足欄位請自行增列，所列團員皆應於臺北市志工管理整合平臺建置志工基本資料</w:t>
      </w:r>
    </w:p>
    <w:sectPr>
      <w:type w:val="continuous"/>
      <w:pgSz w:w="11910" w:h="16840"/>
      <w:pgMar w:header="0" w:footer="1014" w:top="1000" w:bottom="1200" w:left="9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gLiU_HKSCS">
    <w:altName w:val="MingLiU_HKSCS"/>
    <w:charset w:val="0"/>
    <w:family w:val="roman"/>
    <w:pitch w:val="variable"/>
  </w:font>
  <w:font w:name="Yu Gothic UI">
    <w:altName w:val="Yu Gothic UI"/>
    <w:charset w:val="0"/>
    <w:family w:val="swiss"/>
    <w:pitch w:val="variable"/>
  </w:font>
  <w:font w:name="MingLiU">
    <w:altName w:val="MingLiU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130005pt;margin-top:780.204468pt;width:12pt;height:13.05pt;mso-position-horizontal-relative:page;mso-position-vertical-relative:page;z-index:-16038400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358" w:hanging="360"/>
        <w:jc w:val="left"/>
      </w:pPr>
      <w:rPr>
        <w:rFonts w:hint="default" w:ascii="MingLiU_HKSCS" w:hAnsi="MingLiU_HKSCS" w:eastAsia="MingLiU_HKSCS" w:cs="MingLiU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48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25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91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69" w:hanging="36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58" w:hanging="360"/>
        <w:jc w:val="left"/>
      </w:pPr>
      <w:rPr>
        <w:rFonts w:hint="default" w:ascii="MingLiU_HKSCS" w:hAnsi="MingLiU_HKSCS" w:eastAsia="MingLiU_HKSCS" w:cs="MingLiU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48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25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91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69" w:hanging="36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58" w:hanging="360"/>
        <w:jc w:val="left"/>
      </w:pPr>
      <w:rPr>
        <w:rFonts w:hint="default" w:ascii="MingLiU_HKSCS" w:hAnsi="MingLiU_HKSCS" w:eastAsia="MingLiU_HKSCS" w:cs="MingLiU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48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25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91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69" w:hanging="36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8" w:hanging="360"/>
        <w:jc w:val="left"/>
      </w:pPr>
      <w:rPr>
        <w:rFonts w:hint="default" w:ascii="MingLiU_HKSCS" w:hAnsi="MingLiU_HKSCS" w:eastAsia="MingLiU_HKSCS" w:cs="MingLiU_HKSCS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48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25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80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91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69" w:hanging="360"/>
      </w:pPr>
      <w:rPr>
        <w:rFonts w:hint="default"/>
        <w:lang w:val="en-US" w:eastAsia="zh-tw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gLiU" w:hAnsi="MingLiU" w:eastAsia="MingLiU" w:cs="MingLiU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89"/>
      <w:ind w:left="1358" w:hanging="361"/>
    </w:pPr>
    <w:rPr>
      <w:rFonts w:ascii="MingLiU" w:hAnsi="MingLiU" w:eastAsia="MingLiU" w:cs="MingLiU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501" w:lineRule="exact"/>
      <w:ind w:left="1845" w:right="1981"/>
      <w:jc w:val="center"/>
      <w:outlineLvl w:val="1"/>
    </w:pPr>
    <w:rPr>
      <w:rFonts w:ascii="Yu Gothic UI" w:hAnsi="Yu Gothic UI" w:eastAsia="Yu Gothic UI" w:cs="Yu Gothic UI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1358" w:hanging="361"/>
    </w:pPr>
    <w:rPr>
      <w:rFonts w:ascii="MingLiU" w:hAnsi="MingLiU" w:eastAsia="MingLiU" w:cs="MingLiU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Yu Gothic UI" w:hAnsi="Yu Gothic UI" w:eastAsia="Yu Gothic UI" w:cs="Yu Gothic UI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士林社福中心</dc:creator>
  <dc:title>臺北市政府第五屆『金鑽獎』優良志（義）工初審調查表</dc:title>
  <dcterms:created xsi:type="dcterms:W3CDTF">2021-06-08T02:39:56Z</dcterms:created>
  <dcterms:modified xsi:type="dcterms:W3CDTF">2021-06-08T02:39:56Z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