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C6" w:rsidRDefault="00CE21C6" w:rsidP="00060076">
      <w:pPr>
        <w:spacing w:line="400" w:lineRule="exact"/>
        <w:ind w:leftChars="193" w:left="463" w:right="720"/>
        <w:rPr>
          <w:rFonts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Ansi="標楷體" w:hint="eastAsia"/>
          <w:b/>
          <w:sz w:val="36"/>
          <w:szCs w:val="36"/>
        </w:rPr>
        <w:t>臺北市</w:t>
      </w:r>
      <w:proofErr w:type="gramStart"/>
      <w:r>
        <w:rPr>
          <w:rFonts w:eastAsia="標楷體" w:hAnsi="標楷體"/>
          <w:b/>
          <w:sz w:val="36"/>
          <w:szCs w:val="36"/>
        </w:rPr>
        <w:t>10</w:t>
      </w:r>
      <w:r w:rsidR="00C76723">
        <w:rPr>
          <w:rFonts w:eastAsia="標楷體" w:hAnsi="標楷體" w:hint="eastAsia"/>
          <w:b/>
          <w:sz w:val="36"/>
          <w:szCs w:val="36"/>
        </w:rPr>
        <w:t>2</w:t>
      </w:r>
      <w:proofErr w:type="gramEnd"/>
      <w:r>
        <w:rPr>
          <w:rFonts w:eastAsia="標楷體" w:hAnsi="標楷體" w:hint="eastAsia"/>
          <w:b/>
          <w:sz w:val="36"/>
          <w:szCs w:val="36"/>
        </w:rPr>
        <w:t>年度</w:t>
      </w:r>
      <w:r w:rsidR="00060076">
        <w:rPr>
          <w:rFonts w:eastAsia="標楷體" w:hAnsi="標楷體" w:hint="eastAsia"/>
          <w:b/>
          <w:sz w:val="36"/>
          <w:szCs w:val="36"/>
        </w:rPr>
        <w:t>公私立</w:t>
      </w:r>
      <w:r>
        <w:rPr>
          <w:rFonts w:eastAsia="標楷體" w:hAnsi="標楷體" w:hint="eastAsia"/>
          <w:b/>
          <w:sz w:val="36"/>
          <w:szCs w:val="36"/>
        </w:rPr>
        <w:t>各級學校申請性別平等教育</w:t>
      </w:r>
    </w:p>
    <w:p w:rsidR="00416657" w:rsidRDefault="00CE21C6" w:rsidP="00416657">
      <w:pPr>
        <w:spacing w:line="400" w:lineRule="exact"/>
        <w:ind w:leftChars="-59" w:left="2525" w:hangingChars="740" w:hanging="2667"/>
        <w:jc w:val="center"/>
        <w:rPr>
          <w:rFonts w:eastAsia="標楷體" w:hAnsi="標楷體"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教師專業學習社群計畫</w:t>
      </w:r>
    </w:p>
    <w:p w:rsidR="00CE21C6" w:rsidRPr="00416657" w:rsidRDefault="00CE21C6" w:rsidP="00416657">
      <w:pPr>
        <w:spacing w:line="400" w:lineRule="exact"/>
        <w:ind w:leftChars="-59" w:left="1634" w:hangingChars="740" w:hanging="1776"/>
        <w:jc w:val="right"/>
        <w:rPr>
          <w:rFonts w:eastAsia="標楷體" w:hAnsi="標楷體"/>
        </w:rPr>
      </w:pPr>
      <w:r w:rsidRPr="00416657">
        <w:rPr>
          <w:rFonts w:ascii="標楷體" w:eastAsia="標楷體" w:hAnsi="標楷體" w:hint="eastAsia"/>
        </w:rPr>
        <w:t>10</w:t>
      </w:r>
      <w:r w:rsidR="00C76723" w:rsidRPr="00416657">
        <w:rPr>
          <w:rFonts w:ascii="標楷體" w:eastAsia="標楷體" w:hAnsi="標楷體" w:hint="eastAsia"/>
        </w:rPr>
        <w:t>2</w:t>
      </w:r>
      <w:r w:rsidRPr="00416657">
        <w:rPr>
          <w:rFonts w:ascii="標楷體" w:eastAsia="標楷體" w:hAnsi="標楷體" w:hint="eastAsia"/>
        </w:rPr>
        <w:t>.</w:t>
      </w:r>
      <w:r w:rsidR="002E0346" w:rsidRPr="00416657">
        <w:rPr>
          <w:rFonts w:ascii="標楷體" w:eastAsia="標楷體" w:hAnsi="標楷體" w:hint="eastAsia"/>
        </w:rPr>
        <w:t>0</w:t>
      </w:r>
      <w:r w:rsidR="00B93BCB" w:rsidRPr="00416657">
        <w:rPr>
          <w:rFonts w:ascii="標楷體" w:eastAsia="標楷體" w:hAnsi="標楷體" w:hint="eastAsia"/>
        </w:rPr>
        <w:t>4</w:t>
      </w:r>
      <w:r w:rsidRPr="00416657">
        <w:rPr>
          <w:rFonts w:ascii="標楷體" w:eastAsia="標楷體" w:hAnsi="標楷體" w:hint="eastAsia"/>
        </w:rPr>
        <w:t>.</w:t>
      </w:r>
      <w:r w:rsidR="002E0346" w:rsidRPr="00416657">
        <w:rPr>
          <w:rFonts w:ascii="標楷體" w:eastAsia="標楷體" w:hAnsi="標楷體" w:hint="eastAsia"/>
        </w:rPr>
        <w:t>1</w:t>
      </w:r>
      <w:r w:rsidR="00B93BCB" w:rsidRPr="00416657">
        <w:rPr>
          <w:rFonts w:ascii="標楷體" w:eastAsia="標楷體" w:hAnsi="標楷體" w:hint="eastAsia"/>
        </w:rPr>
        <w:t>1</w:t>
      </w:r>
    </w:p>
    <w:p w:rsidR="00CE21C6" w:rsidRDefault="00CE21C6" w:rsidP="00CE21C6">
      <w:pPr>
        <w:spacing w:line="400" w:lineRule="exact"/>
        <w:jc w:val="both"/>
        <w:rPr>
          <w:rFonts w:ascii="標楷體" w:eastAsia="標楷體" w:hAnsi="標楷體"/>
          <w:bCs/>
          <w:sz w:val="36"/>
          <w:szCs w:val="36"/>
        </w:rPr>
      </w:pPr>
    </w:p>
    <w:p w:rsidR="00CE21C6" w:rsidRPr="00AB5394" w:rsidRDefault="00CE21C6" w:rsidP="00CE21C6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壹、依據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一、臺北市</w:t>
      </w:r>
      <w:proofErr w:type="gramStart"/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C767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End"/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年度友善校園學生事務與輔導工作計畫。</w:t>
      </w:r>
    </w:p>
    <w:p w:rsidR="00CE21C6" w:rsidRPr="00AB5394" w:rsidRDefault="009115ED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、臺北市政府</w:t>
      </w:r>
      <w:proofErr w:type="gramStart"/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C767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End"/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年度推展性別平等教育實施計畫。</w:t>
      </w:r>
    </w:p>
    <w:p w:rsidR="00416657" w:rsidRPr="00416657" w:rsidRDefault="009115ED" w:rsidP="00416657">
      <w:pPr>
        <w:spacing w:line="400" w:lineRule="exact"/>
        <w:ind w:leftChars="108" w:left="959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B7EA0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</w:t>
      </w:r>
      <w:r w:rsidR="00325D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第4屆</w:t>
      </w:r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性別平等教育委員會</w:t>
      </w:r>
      <w:r w:rsidR="00325D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課程與教學小組</w:t>
      </w:r>
      <w:r w:rsidR="00325D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proofErr w:type="gramStart"/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C767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End"/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年度</w:t>
      </w:r>
      <w:r w:rsidR="00325D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工作</w:t>
      </w:r>
      <w:r w:rsidR="0039787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實施計畫。</w:t>
      </w:r>
    </w:p>
    <w:p w:rsidR="00CE21C6" w:rsidRPr="00AB5394" w:rsidRDefault="00CE21C6" w:rsidP="00CE21C6">
      <w:pPr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E21C6" w:rsidRPr="00AB5394" w:rsidRDefault="00CE21C6" w:rsidP="00CE21C6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貳、目的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一、鼓勵教師成立性別平等教育專業學習社群，增進教師同儕專業成長。</w:t>
      </w:r>
    </w:p>
    <w:p w:rsidR="00CE21C6" w:rsidRPr="00AB5394" w:rsidRDefault="00CE21C6" w:rsidP="00CE21C6">
      <w:pPr>
        <w:snapToGrid w:val="0"/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二、結合「臺北市國民小學辦理教師專業學習社群計畫補助要點」落實教師性別平等教育之專業對話，分享與討論教學經驗，改進教學技巧。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三、涵養教學研究風氣，透過團隊研討帶動教學專業精進與成長。</w:t>
      </w:r>
    </w:p>
    <w:p w:rsidR="00CE21C6" w:rsidRPr="00AB5394" w:rsidRDefault="00CE21C6" w:rsidP="009115ED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四、增進教師專業</w:t>
      </w:r>
      <w:r w:rsidR="009115ED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自主與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合作，創造經驗交流與成長學習，提升</w:t>
      </w:r>
      <w:r w:rsidR="009115ED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教學效能。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五、培訓本市性別平等教育種子教師，充實本市教學師資人才庫。</w:t>
      </w:r>
    </w:p>
    <w:p w:rsidR="00CE21C6" w:rsidRPr="00AB5394" w:rsidRDefault="00CE21C6" w:rsidP="00CE21C6">
      <w:pPr>
        <w:spacing w:line="40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416657" w:rsidRDefault="00CE21C6" w:rsidP="00CE21C6">
      <w:pPr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參、</w:t>
      </w:r>
      <w:r w:rsidR="0041665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指導單位：臺北市政府性別平等教育委員會</w:t>
      </w:r>
    </w:p>
    <w:p w:rsidR="00416657" w:rsidRDefault="00416657" w:rsidP="00CE21C6">
      <w:pPr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肆、辦理單位：臺北市政府教育局</w:t>
      </w:r>
      <w:r w:rsidR="00F822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（以下簡稱本局）</w:t>
      </w:r>
    </w:p>
    <w:p w:rsidR="00CE21C6" w:rsidRPr="00AB5394" w:rsidRDefault="00416657" w:rsidP="00CE21C6">
      <w:pPr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伍、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推動原則</w:t>
      </w:r>
    </w:p>
    <w:p w:rsidR="00CE21C6" w:rsidRPr="00AB5394" w:rsidRDefault="00CE21C6" w:rsidP="00CE21C6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由教師自主規劃學習：教師專業學習社群是由志同道合，具共同願景教師自主規劃，以合作方式共同進行探究或問題解決之學習社群。教師可募集校內同、跨領域（科/群）教師或校外夥伴學校教師，成立教師專業學習社群，增進專業成長。</w:t>
      </w:r>
    </w:p>
    <w:p w:rsidR="00CE21C6" w:rsidRPr="00AB5394" w:rsidRDefault="00CE21C6" w:rsidP="00CE21C6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二、關注學生學習成效提升：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教師專業學習社群的運作，必須關注於學生學習成效的提升，不能僅止於教師專業知能的成長或個別興趣的追求，</w:t>
      </w:r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透過</w:t>
      </w:r>
      <w:proofErr w:type="gramStart"/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教師間的專業</w:t>
      </w:r>
      <w:proofErr w:type="gramEnd"/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對話，分享討論學科專業、課程與教學、班級經營與輔導、學習與評量等議題，共同致力於促進學生獲得更佳的學習成效。</w:t>
      </w:r>
    </w:p>
    <w:p w:rsidR="00CE21C6" w:rsidRPr="00AB5394" w:rsidRDefault="00CE21C6" w:rsidP="00CE21C6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三、行政支持及資源整合協助：教師專業學習社群之順利運作，需要學校行政之積極鼓勵及宣導，學校應發覺並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符應教師自主性專業成長之需求，鼓勵學年群、領域團隊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提出教師專業學習社群之申請，並於社群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運作過程中主動提供對話平台及支援，如協助建置專業社群之分享網頁、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專業學習社群成果發表會等，給予社群研究與發展上充足的資源協助。</w:t>
      </w:r>
    </w:p>
    <w:p w:rsidR="00CE21C6" w:rsidRPr="00AB5394" w:rsidRDefault="00CE21C6" w:rsidP="00CE21C6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四、落實性別平等教育推動：藉由教師專業社群運作，教師以對話及分享方式</w:t>
      </w:r>
      <w:r w:rsidRPr="00AB5394">
        <w:rPr>
          <w:rFonts w:ascii="新細明體" w:hAnsi="新細明體" w:hint="eastAsia"/>
          <w:bCs/>
          <w:color w:val="000000" w:themeColor="text1"/>
          <w:sz w:val="28"/>
          <w:szCs w:val="28"/>
        </w:rPr>
        <w:t>，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將性別平等教育議題有效落實教學活動中。</w:t>
      </w:r>
    </w:p>
    <w:p w:rsidR="00CE21C6" w:rsidRPr="00AB5394" w:rsidRDefault="00CE21C6" w:rsidP="00CE21C6">
      <w:pPr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CE21C6" w:rsidRPr="00AB5394" w:rsidRDefault="00416657" w:rsidP="00CE21C6">
      <w:pPr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陸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、實施方式</w:t>
      </w:r>
    </w:p>
    <w:p w:rsidR="00CE21C6" w:rsidRPr="00AB5394" w:rsidRDefault="00CE21C6" w:rsidP="00923C04">
      <w:pPr>
        <w:spacing w:line="400" w:lineRule="exact"/>
        <w:ind w:left="840" w:hangingChars="300" w:hanging="84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一、</w:t>
      </w:r>
      <w:r w:rsidR="00923C04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性別平等教育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專業學習社群之組成：每一學習社群之組成人數以4-10人為原則，由教師自願組織，</w:t>
      </w:r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並推舉一位教師擔任社群召集人。</w:t>
      </w:r>
    </w:p>
    <w:p w:rsidR="00923C04" w:rsidRPr="00AB5394" w:rsidRDefault="00923C04" w:rsidP="00CE21C6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性別平等教育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專業學習社群之運作：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習社群的進行方式，可包括：教學觀察與回饋、教學檔案製作、主題探討（含影帶、專書）、主題經驗分享、校外專題講座、新進教師輔導、新課程發展、教學方法創新、教學媒材研發、行動研究、協同教學、同儕省思對話、標竿楷模學習、案例分析、</w:t>
      </w:r>
      <w:proofErr w:type="gramStart"/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協同備課等</w:t>
      </w:r>
      <w:proofErr w:type="gramEnd"/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CE21C6" w:rsidRPr="00AB5394" w:rsidRDefault="00923C04" w:rsidP="00CE21C6">
      <w:pPr>
        <w:spacing w:line="40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三、本年度性別平等教育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專業學習社群的活動次數</w:t>
      </w:r>
      <w:r w:rsidR="0006007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以不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少於</w:t>
      </w:r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8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次</w:t>
      </w:r>
      <w:r w:rsidR="0006007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為原則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。教師專業社群活動時間，應以不影響學校活動。</w:t>
      </w:r>
    </w:p>
    <w:p w:rsidR="00CE21C6" w:rsidRPr="00AB5394" w:rsidRDefault="00CE21C6" w:rsidP="00CE21C6">
      <w:pPr>
        <w:spacing w:line="400" w:lineRule="exact"/>
        <w:ind w:leftChars="58" w:left="700" w:hangingChars="200" w:hanging="561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CE21C6" w:rsidRPr="00AB5394" w:rsidRDefault="00416657" w:rsidP="00CE21C6">
      <w:pPr>
        <w:spacing w:line="400" w:lineRule="exact"/>
        <w:ind w:leftChars="58" w:left="699" w:hangingChars="200" w:hanging="56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柒</w:t>
      </w:r>
      <w:proofErr w:type="gramEnd"/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、申請方式</w:t>
      </w:r>
    </w:p>
    <w:p w:rsidR="00CE21C6" w:rsidRPr="00AB5394" w:rsidRDefault="00923C04" w:rsidP="00923C04">
      <w:pPr>
        <w:spacing w:line="400" w:lineRule="exact"/>
        <w:ind w:leftChars="58" w:left="839" w:hangingChars="250" w:hanging="7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一、</w:t>
      </w:r>
      <w:r w:rsidR="00854177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由教師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撰寫「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性別平等教育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教師專業學習社群申請書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」，就學習社群組成目的、年度目標、進行方式、年度進度規劃、預期效益、學習資源及經費概算等予以填列後，送交學校教務處進行初審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854177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再提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</w:t>
      </w:r>
      <w:r w:rsidR="0041665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CE21C6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局進行審查。</w:t>
      </w:r>
    </w:p>
    <w:p w:rsidR="00923C04" w:rsidRPr="00AB5394" w:rsidRDefault="00923C04" w:rsidP="00923C04">
      <w:pPr>
        <w:spacing w:line="400" w:lineRule="exact"/>
        <w:ind w:leftChars="108" w:left="819" w:hangingChars="200" w:hanging="56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二、送件日期：自即日起至10</w:t>
      </w:r>
      <w:r w:rsidR="00C76723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C76723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月2</w:t>
      </w:r>
      <w:r w:rsidR="00C76723"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日止。</w:t>
      </w:r>
    </w:p>
    <w:p w:rsidR="00CE21C6" w:rsidRPr="00AB5394" w:rsidRDefault="00CE21C6" w:rsidP="00CE21C6">
      <w:pPr>
        <w:spacing w:line="400" w:lineRule="exact"/>
        <w:ind w:left="835"/>
        <w:jc w:val="both"/>
        <w:rPr>
          <w:rFonts w:ascii="標楷體" w:eastAsia="標楷體" w:hAnsi="標楷體"/>
          <w:b/>
          <w:color w:val="000000" w:themeColor="text1"/>
          <w:sz w:val="28"/>
          <w:szCs w:val="20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</w:t>
      </w:r>
    </w:p>
    <w:p w:rsidR="00CE21C6" w:rsidRPr="00AB5394" w:rsidRDefault="00416657" w:rsidP="00CE21C6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捌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</w:rPr>
        <w:t>、審查原則</w:t>
      </w:r>
    </w:p>
    <w:p w:rsidR="00CE21C6" w:rsidRPr="00AB5394" w:rsidRDefault="00CE21C6" w:rsidP="000B7EA0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B5394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</w:t>
      </w:r>
      <w:r w:rsidR="00416657">
        <w:rPr>
          <w:rFonts w:ascii="標楷體" w:eastAsia="標楷體" w:hAnsi="標楷體" w:hint="eastAsia"/>
          <w:bCs/>
          <w:color w:val="000000" w:themeColor="text1"/>
          <w:sz w:val="28"/>
        </w:rPr>
        <w:t>本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局將於</w:t>
      </w:r>
      <w:r w:rsidRPr="00AB5394">
        <w:rPr>
          <w:rFonts w:ascii="標楷體" w:eastAsia="標楷體" w:hAnsi="標楷體" w:hint="eastAsia"/>
          <w:color w:val="000000" w:themeColor="text1"/>
          <w:sz w:val="28"/>
        </w:rPr>
        <w:t>申請截止日後，召開審核會議，依下列原則進行書面審核</w:t>
      </w:r>
      <w:r w:rsidRPr="00AB5394">
        <w:rPr>
          <w:rFonts w:ascii="標楷體" w:eastAsia="標楷體" w:hAnsi="標楷體" w:hint="eastAsia"/>
          <w:bCs/>
          <w:color w:val="000000" w:themeColor="text1"/>
          <w:sz w:val="28"/>
        </w:rPr>
        <w:t>：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一、能符應學校發展現況及教師專業成長需求之評估（20%）。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二、專業社群運作之整體規劃及行政支援具可行性（20%）</w:t>
      </w:r>
    </w:p>
    <w:p w:rsidR="00CE21C6" w:rsidRPr="00AB5394" w:rsidRDefault="00CE21C6" w:rsidP="00CE21C6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三、社群之運作及規劃能達成年度目標及預期效益（20%）。</w:t>
      </w:r>
    </w:p>
    <w:p w:rsidR="00CE21C6" w:rsidRPr="00AB5394" w:rsidRDefault="00CE21C6" w:rsidP="0089018A">
      <w:pPr>
        <w:spacing w:line="400" w:lineRule="exact"/>
        <w:ind w:leftChars="134" w:left="882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四、社群之召集人及成員組成適切，成員有共同願景</w:t>
      </w:r>
      <w:r w:rsidR="0089018A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志趣</w:t>
      </w:r>
      <w:r w:rsidR="0089018A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樂於分工分享（20%）。</w:t>
      </w:r>
    </w:p>
    <w:p w:rsidR="00CE21C6" w:rsidRPr="00AB5394" w:rsidRDefault="00CE21C6" w:rsidP="000B7EA0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五、經費編列之合理性（10%）。</w:t>
      </w:r>
    </w:p>
    <w:p w:rsidR="00CE21C6" w:rsidRPr="00AB5394" w:rsidRDefault="00CE21C6" w:rsidP="000B7EA0">
      <w:pPr>
        <w:spacing w:line="40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六、其他審查原則：（10%） </w:t>
      </w:r>
    </w:p>
    <w:p w:rsidR="00CE21C6" w:rsidRPr="00AB5394" w:rsidRDefault="00CE21C6" w:rsidP="00CE21C6">
      <w:pPr>
        <w:spacing w:line="4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1.區域平衡原則：各行政區儘量有學校參與。</w:t>
      </w:r>
    </w:p>
    <w:p w:rsidR="00CE21C6" w:rsidRPr="00AB5394" w:rsidRDefault="00CE21C6" w:rsidP="00CE21C6">
      <w:pPr>
        <w:spacing w:line="4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2.激勵弱勢原則：於條件相同時，考量資源較弱勢之學校為優先。</w:t>
      </w:r>
    </w:p>
    <w:p w:rsidR="00CE21C6" w:rsidRPr="00AB5394" w:rsidRDefault="00CE21C6" w:rsidP="00530ACE">
      <w:pPr>
        <w:spacing w:line="400" w:lineRule="exact"/>
        <w:ind w:leftChars="200" w:left="90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3.積極效益原則：學習社群</w:t>
      </w:r>
      <w:r w:rsidR="00530ACE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運作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進行方式儘量</w:t>
      </w:r>
      <w:r w:rsidR="00530ACE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多元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均衡，發揮經費最大效用。</w:t>
      </w:r>
    </w:p>
    <w:p w:rsidR="00CE21C6" w:rsidRPr="00AB5394" w:rsidRDefault="00CE21C6" w:rsidP="00CE21C6">
      <w:pPr>
        <w:spacing w:line="40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4.資源共享原則：鼓勵</w:t>
      </w:r>
      <w:proofErr w:type="gramStart"/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跨校跨領域</w:t>
      </w:r>
      <w:proofErr w:type="gramEnd"/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建立學習社群。</w:t>
      </w:r>
    </w:p>
    <w:p w:rsidR="00CE21C6" w:rsidRPr="00AB5394" w:rsidRDefault="00CE21C6" w:rsidP="00CE21C6">
      <w:pPr>
        <w:spacing w:line="400" w:lineRule="exact"/>
        <w:ind w:firstLineChars="50" w:firstLine="14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CE21C6" w:rsidRPr="00AB5394" w:rsidRDefault="00416657" w:rsidP="00CE21C6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玖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、經費補助</w:t>
      </w:r>
    </w:p>
    <w:p w:rsidR="00CE21C6" w:rsidRPr="00AB5394" w:rsidRDefault="00CE21C6" w:rsidP="00CE21C6">
      <w:pPr>
        <w:snapToGrid w:val="0"/>
        <w:spacing w:line="440" w:lineRule="exact"/>
        <w:ind w:leftChars="116" w:left="900" w:hangingChars="222" w:hanging="622"/>
        <w:jc w:val="both"/>
        <w:rPr>
          <w:rFonts w:ascii="標楷體" w:eastAsia="標楷體" w:hAnsi="標楷體"/>
          <w:color w:val="000000" w:themeColor="text1"/>
          <w:sz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</w:rPr>
        <w:t>一、本計畫所需經費</w:t>
      </w:r>
      <w:r w:rsidR="00416657">
        <w:rPr>
          <w:rFonts w:ascii="標楷體" w:eastAsia="標楷體" w:hAnsi="標楷體" w:hint="eastAsia"/>
          <w:color w:val="000000" w:themeColor="text1"/>
          <w:sz w:val="28"/>
        </w:rPr>
        <w:t>由本</w:t>
      </w:r>
      <w:r w:rsidRPr="00AB5394">
        <w:rPr>
          <w:rFonts w:ascii="標楷體" w:eastAsia="標楷體" w:hAnsi="標楷體" w:hint="eastAsia"/>
          <w:color w:val="000000" w:themeColor="text1"/>
          <w:sz w:val="28"/>
        </w:rPr>
        <w:t>局部分補助，</w:t>
      </w:r>
      <w:proofErr w:type="gramStart"/>
      <w:r w:rsidRPr="00AB5394">
        <w:rPr>
          <w:rFonts w:ascii="標楷體" w:eastAsia="標楷體" w:hAnsi="標楷體" w:hint="eastAsia"/>
          <w:color w:val="000000" w:themeColor="text1"/>
          <w:sz w:val="28"/>
        </w:rPr>
        <w:t>各校宜積極</w:t>
      </w:r>
      <w:proofErr w:type="gramEnd"/>
      <w:r w:rsidRPr="00AB5394">
        <w:rPr>
          <w:rFonts w:ascii="標楷體" w:eastAsia="標楷體" w:hAnsi="標楷體" w:hint="eastAsia"/>
          <w:color w:val="000000" w:themeColor="text1"/>
          <w:sz w:val="28"/>
        </w:rPr>
        <w:t>自籌相關經費共同推展。</w:t>
      </w:r>
    </w:p>
    <w:p w:rsidR="00CE21C6" w:rsidRPr="00AB5394" w:rsidRDefault="00CE21C6" w:rsidP="00CE21C6">
      <w:pPr>
        <w:snapToGrid w:val="0"/>
        <w:spacing w:line="44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sz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</w:rPr>
        <w:t>二、補助額度：原則</w:t>
      </w:r>
      <w:r w:rsidR="0089018A" w:rsidRPr="00AB5394">
        <w:rPr>
          <w:rFonts w:ascii="標楷體" w:eastAsia="標楷體" w:hAnsi="標楷體" w:hint="eastAsia"/>
          <w:color w:val="000000" w:themeColor="text1"/>
          <w:sz w:val="28"/>
        </w:rPr>
        <w:t>每校</w:t>
      </w:r>
      <w:r w:rsidRPr="00AB5394">
        <w:rPr>
          <w:rFonts w:ascii="標楷體" w:eastAsia="標楷體" w:hAnsi="標楷體" w:hint="eastAsia"/>
          <w:color w:val="000000" w:themeColor="text1"/>
          <w:sz w:val="28"/>
        </w:rPr>
        <w:t>補助新臺幣</w:t>
      </w:r>
      <w:r w:rsidR="002E0346" w:rsidRPr="00AB5394">
        <w:rPr>
          <w:rFonts w:ascii="標楷體" w:eastAsia="標楷體" w:hAnsi="標楷體" w:hint="eastAsia"/>
          <w:color w:val="000000" w:themeColor="text1"/>
          <w:sz w:val="28"/>
        </w:rPr>
        <w:t>10,</w:t>
      </w:r>
      <w:r w:rsidRPr="00AB5394">
        <w:rPr>
          <w:rFonts w:ascii="標楷體" w:eastAsia="標楷體" w:hAnsi="標楷體" w:hint="eastAsia"/>
          <w:color w:val="000000" w:themeColor="text1"/>
          <w:sz w:val="28"/>
        </w:rPr>
        <w:t>000元</w:t>
      </w:r>
      <w:r w:rsidR="0089018A" w:rsidRPr="00AB5394">
        <w:rPr>
          <w:rFonts w:ascii="標楷體" w:eastAsia="標楷體" w:hAnsi="標楷體" w:hint="eastAsia"/>
          <w:color w:val="000000" w:themeColor="text1"/>
          <w:sz w:val="28"/>
        </w:rPr>
        <w:t>整</w:t>
      </w:r>
      <w:r w:rsidRPr="00AB5394">
        <w:rPr>
          <w:rFonts w:ascii="標楷體" w:eastAsia="標楷體" w:hAnsi="標楷體" w:hint="eastAsia"/>
          <w:color w:val="000000" w:themeColor="text1"/>
          <w:sz w:val="28"/>
        </w:rPr>
        <w:t>，惟實際補助額度由</w:t>
      </w:r>
      <w:r w:rsidR="00416657">
        <w:rPr>
          <w:rFonts w:ascii="標楷體" w:eastAsia="標楷體" w:hAnsi="標楷體" w:hint="eastAsia"/>
          <w:color w:val="000000" w:themeColor="text1"/>
          <w:sz w:val="28"/>
        </w:rPr>
        <w:t>本</w:t>
      </w:r>
      <w:r w:rsidRPr="00AB5394">
        <w:rPr>
          <w:rFonts w:ascii="標楷體" w:eastAsia="標楷體" w:hAnsi="標楷體" w:hint="eastAsia"/>
          <w:color w:val="000000" w:themeColor="text1"/>
          <w:sz w:val="28"/>
        </w:rPr>
        <w:t>局依學校申請情形及審核結果衡酌調整。</w:t>
      </w:r>
    </w:p>
    <w:p w:rsidR="00CE21C6" w:rsidRPr="00AB5394" w:rsidRDefault="00CE21C6" w:rsidP="00CE21C6">
      <w:pPr>
        <w:snapToGrid w:val="0"/>
        <w:spacing w:line="440" w:lineRule="exact"/>
        <w:ind w:leftChars="116" w:left="838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</w:rPr>
        <w:t>三、獲補助經費之執行期程，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2E034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C767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76723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5348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2E034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9115ED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E034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</w:t>
      </w:r>
      <w:r w:rsidR="002E034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日止。</w:t>
      </w:r>
    </w:p>
    <w:p w:rsidR="003F6D58" w:rsidRPr="00AB5394" w:rsidRDefault="00416657" w:rsidP="000B7EA0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拾</w:t>
      </w:r>
      <w:r w:rsidR="003F6D58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、其他</w:t>
      </w:r>
    </w:p>
    <w:p w:rsidR="00CE21C6" w:rsidRPr="00AB5394" w:rsidRDefault="003F6D58" w:rsidP="003F6D58">
      <w:pPr>
        <w:snapToGrid w:val="0"/>
        <w:spacing w:line="440" w:lineRule="exact"/>
        <w:ind w:leftChars="316" w:left="758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年度運作結束時，</w:t>
      </w:r>
      <w:r w:rsidR="0045348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提報</w:t>
      </w:r>
      <w:r w:rsidR="004166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45348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一份成果報告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包含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社群參加人數、歷次活動或會議記錄、研發之課程或教材教法、教師專業成長提升與學生學習成效之分析、學校組織文化之改變或教師需求滿意度分析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及活動書面資料與相關照片</w:t>
      </w:r>
      <w:r w:rsidRPr="00AB539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E21C6"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影音檔等</w:t>
      </w:r>
      <w:r w:rsidRPr="00AB53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)。</w:t>
      </w:r>
    </w:p>
    <w:p w:rsidR="00CE21C6" w:rsidRPr="00AB5394" w:rsidRDefault="00CE21C6" w:rsidP="00CE21C6">
      <w:pPr>
        <w:spacing w:line="400" w:lineRule="exact"/>
        <w:ind w:leftChars="174" w:left="978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0"/>
        </w:rPr>
      </w:pPr>
    </w:p>
    <w:p w:rsidR="00DF7B39" w:rsidRPr="00AB5394" w:rsidRDefault="00416657" w:rsidP="000B7EA0">
      <w:pPr>
        <w:snapToGrid w:val="0"/>
        <w:spacing w:line="440" w:lineRule="exact"/>
        <w:ind w:firstLineChars="50" w:firstLine="140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拾壹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</w:rPr>
        <w:t>、本計畫經</w:t>
      </w:r>
      <w:r w:rsidR="00F822F2">
        <w:rPr>
          <w:rFonts w:ascii="標楷體" w:eastAsia="標楷體" w:hAnsi="標楷體" w:hint="eastAsia"/>
          <w:color w:val="000000" w:themeColor="text1"/>
          <w:sz w:val="28"/>
        </w:rPr>
        <w:t>臺北市政府性別平等教育委員會同意</w:t>
      </w:r>
      <w:r w:rsidR="00CE21C6" w:rsidRPr="00AB5394">
        <w:rPr>
          <w:rFonts w:ascii="標楷體" w:eastAsia="標楷體" w:hAnsi="標楷體" w:hint="eastAsia"/>
          <w:color w:val="000000" w:themeColor="text1"/>
          <w:sz w:val="28"/>
        </w:rPr>
        <w:t>後實施，修正時亦同。</w:t>
      </w:r>
    </w:p>
    <w:p w:rsidR="00397876" w:rsidRPr="00416657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0B7EA0" w:rsidRPr="00AB5394" w:rsidRDefault="000B7EA0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397876" w:rsidRPr="00AB5394" w:rsidRDefault="00397876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07313F" w:rsidRPr="00AB5394" w:rsidRDefault="00397876" w:rsidP="000B7EA0">
      <w:pPr>
        <w:spacing w:line="400" w:lineRule="exact"/>
        <w:ind w:right="720" w:firstLineChars="600" w:firstLine="2162"/>
        <w:rPr>
          <w:rFonts w:eastAsia="標楷體" w:hAnsi="標楷體"/>
          <w:b/>
          <w:color w:val="000000" w:themeColor="text1"/>
          <w:sz w:val="36"/>
          <w:szCs w:val="36"/>
        </w:rPr>
      </w:pPr>
      <w:r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臺北市</w:t>
      </w:r>
      <w:proofErr w:type="gramStart"/>
      <w:r w:rsidR="000B7EA0"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10</w:t>
      </w:r>
      <w:r w:rsidR="00CE6391"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2</w:t>
      </w:r>
      <w:proofErr w:type="gramEnd"/>
      <w:r w:rsidR="000B7EA0"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年度</w:t>
      </w:r>
      <w:r w:rsidR="0007313F"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公私立</w:t>
      </w:r>
      <w:r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各級學校</w:t>
      </w:r>
    </w:p>
    <w:p w:rsidR="00397876" w:rsidRPr="00AB5394" w:rsidRDefault="0007313F" w:rsidP="000B7EA0">
      <w:pPr>
        <w:snapToGrid w:val="0"/>
        <w:spacing w:line="440" w:lineRule="exact"/>
        <w:ind w:firstLineChars="500" w:firstLine="1802"/>
        <w:jc w:val="both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「性別平等教育</w:t>
      </w:r>
      <w:r w:rsidRPr="00AB539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教師專業學習社群</w:t>
      </w: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」</w:t>
      </w:r>
    </w:p>
    <w:p w:rsidR="000B7EA0" w:rsidRPr="00AB5394" w:rsidRDefault="000B7EA0" w:rsidP="0007313F">
      <w:pPr>
        <w:snapToGrid w:val="0"/>
        <w:spacing w:line="440" w:lineRule="exact"/>
        <w:ind w:firstLineChars="300" w:firstLine="1081"/>
        <w:jc w:val="both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 xml:space="preserve">                 申請表</w:t>
      </w:r>
    </w:p>
    <w:p w:rsidR="00A46BBC" w:rsidRPr="00AB5394" w:rsidRDefault="000B7EA0" w:rsidP="000B7EA0">
      <w:pPr>
        <w:snapToGrid w:val="0"/>
        <w:spacing w:line="440" w:lineRule="exact"/>
        <w:ind w:firstLineChars="300" w:firstLine="1081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 xml:space="preserve">      </w:t>
      </w:r>
    </w:p>
    <w:p w:rsidR="00A46BBC" w:rsidRPr="00AB5394" w:rsidRDefault="00D34D34" w:rsidP="00D34D34">
      <w:pPr>
        <w:snapToGrid w:val="0"/>
        <w:spacing w:line="440" w:lineRule="exact"/>
        <w:ind w:firstLineChars="100" w:firstLine="320"/>
        <w:jc w:val="both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AB539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校名：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5387"/>
        <w:gridCol w:w="1788"/>
      </w:tblGrid>
      <w:tr w:rsidR="000B7EA0" w:rsidRPr="00AB5394" w:rsidTr="000B7EA0">
        <w:tc>
          <w:tcPr>
            <w:tcW w:w="1951" w:type="dxa"/>
          </w:tcPr>
          <w:p w:rsidR="000B7EA0" w:rsidRPr="00AB5394" w:rsidRDefault="000B7EA0" w:rsidP="00A46BBC">
            <w:pPr>
              <w:snapToGrid w:val="0"/>
              <w:spacing w:line="440" w:lineRule="exact"/>
              <w:ind w:firstLineChars="250" w:firstLine="70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項目</w:t>
            </w:r>
          </w:p>
        </w:tc>
        <w:tc>
          <w:tcPr>
            <w:tcW w:w="5387" w:type="dxa"/>
          </w:tcPr>
          <w:p w:rsidR="000B7EA0" w:rsidRPr="00AB5394" w:rsidRDefault="000B7EA0" w:rsidP="000B7EA0">
            <w:pPr>
              <w:snapToGrid w:val="0"/>
              <w:spacing w:line="440" w:lineRule="exact"/>
              <w:ind w:firstLineChars="650" w:firstLine="182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內容說明</w:t>
            </w:r>
          </w:p>
        </w:tc>
        <w:tc>
          <w:tcPr>
            <w:tcW w:w="1788" w:type="dxa"/>
          </w:tcPr>
          <w:p w:rsidR="000B7EA0" w:rsidRPr="00AB5394" w:rsidRDefault="000B7EA0" w:rsidP="000B7EA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學校初審</w:t>
            </w: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A46BB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社群組成目的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A46BB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年度目標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進行方式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2802C0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年度進度規</w:t>
            </w:r>
            <w:r w:rsidR="002802C0"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劃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預期效益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A46BB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學習資源與</w:t>
            </w:r>
          </w:p>
          <w:p w:rsidR="000B7EA0" w:rsidRPr="00AB5394" w:rsidRDefault="000B7EA0" w:rsidP="00A46BB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經費概算</w:t>
            </w:r>
          </w:p>
          <w:p w:rsidR="00492CB3" w:rsidRPr="00AB5394" w:rsidRDefault="00492CB3" w:rsidP="00F2421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(請</w:t>
            </w:r>
            <w:r w:rsidR="00F24216"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另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附</w:t>
            </w:r>
            <w:r w:rsidR="00F24216"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申請教育局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經費</w:t>
            </w:r>
            <w:r w:rsidR="00F24216"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補助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概算表 )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B7EA0" w:rsidRPr="00AB5394" w:rsidTr="000B7EA0">
        <w:tc>
          <w:tcPr>
            <w:tcW w:w="1951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其他</w:t>
            </w:r>
          </w:p>
        </w:tc>
        <w:tc>
          <w:tcPr>
            <w:tcW w:w="5387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788" w:type="dxa"/>
          </w:tcPr>
          <w:p w:rsidR="000B7EA0" w:rsidRPr="00AB5394" w:rsidRDefault="000B7EA0" w:rsidP="002E034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530ACE" w:rsidRPr="00AB5394" w:rsidRDefault="00D34D34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</w:rPr>
        <w:t>承辦人                主任               校長</w:t>
      </w:r>
    </w:p>
    <w:p w:rsidR="00D34D34" w:rsidRPr="00AB5394" w:rsidRDefault="00D34D34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AB5394">
        <w:rPr>
          <w:rFonts w:ascii="標楷體" w:eastAsia="標楷體" w:hAnsi="標楷體" w:hint="eastAsia"/>
          <w:color w:val="000000" w:themeColor="text1"/>
          <w:sz w:val="28"/>
        </w:rPr>
        <w:t>電  話</w:t>
      </w:r>
    </w:p>
    <w:p w:rsidR="008C6E08" w:rsidRPr="00AB5394" w:rsidRDefault="008C6E08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D34D34" w:rsidRPr="00AB5394" w:rsidRDefault="00D34D34" w:rsidP="00D34D34">
      <w:pPr>
        <w:spacing w:line="400" w:lineRule="exact"/>
        <w:ind w:right="720" w:firstLineChars="600" w:firstLine="2162"/>
        <w:rPr>
          <w:rFonts w:eastAsia="標楷體" w:hAnsi="標楷體"/>
          <w:b/>
          <w:color w:val="000000" w:themeColor="text1"/>
          <w:sz w:val="36"/>
          <w:szCs w:val="36"/>
        </w:rPr>
      </w:pPr>
      <w:r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lastRenderedPageBreak/>
        <w:t>臺北市</w:t>
      </w:r>
      <w:proofErr w:type="gramStart"/>
      <w:r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10</w:t>
      </w:r>
      <w:r w:rsidR="009C14F9"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2</w:t>
      </w:r>
      <w:proofErr w:type="gramEnd"/>
      <w:r w:rsidRPr="00AB5394">
        <w:rPr>
          <w:rFonts w:eastAsia="標楷體" w:hAnsi="標楷體" w:hint="eastAsia"/>
          <w:b/>
          <w:color w:val="000000" w:themeColor="text1"/>
          <w:sz w:val="36"/>
          <w:szCs w:val="36"/>
        </w:rPr>
        <w:t>年度公私立各級學校</w:t>
      </w:r>
    </w:p>
    <w:p w:rsidR="00D34D34" w:rsidRPr="00AB5394" w:rsidRDefault="00D34D34" w:rsidP="00D34D34">
      <w:pPr>
        <w:snapToGrid w:val="0"/>
        <w:spacing w:line="440" w:lineRule="exact"/>
        <w:ind w:firstLineChars="300" w:firstLine="1081"/>
        <w:jc w:val="both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「性別平等教育</w:t>
      </w:r>
      <w:r w:rsidRPr="00AB539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教師專業學習社群</w:t>
      </w: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」申請案</w:t>
      </w:r>
    </w:p>
    <w:p w:rsidR="00D34D34" w:rsidRPr="00AB5394" w:rsidRDefault="00D34D34" w:rsidP="00D34D34">
      <w:pPr>
        <w:snapToGrid w:val="0"/>
        <w:spacing w:line="440" w:lineRule="exact"/>
        <w:ind w:firstLineChars="500" w:firstLine="1802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 xml:space="preserve">           審查表</w:t>
      </w:r>
    </w:p>
    <w:p w:rsidR="00385FEA" w:rsidRPr="00AB5394" w:rsidRDefault="00385FEA" w:rsidP="00385FEA">
      <w:pPr>
        <w:snapToGrid w:val="0"/>
        <w:spacing w:line="440" w:lineRule="exact"/>
        <w:ind w:firstLineChars="100" w:firstLine="360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34D34" w:rsidRPr="00AB5394" w:rsidRDefault="00385FEA" w:rsidP="00385FEA">
      <w:pPr>
        <w:snapToGrid w:val="0"/>
        <w:spacing w:line="440" w:lineRule="exact"/>
        <w:ind w:firstLineChars="100" w:firstLine="360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校名：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6771"/>
        <w:gridCol w:w="1417"/>
        <w:gridCol w:w="1134"/>
      </w:tblGrid>
      <w:tr w:rsidR="00385FEA" w:rsidRPr="00AB5394" w:rsidTr="00385FEA">
        <w:tc>
          <w:tcPr>
            <w:tcW w:w="6771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firstLineChars="850" w:firstLine="23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評分項目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配分標準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得分</w:t>
            </w:r>
          </w:p>
        </w:tc>
      </w:tr>
      <w:tr w:rsidR="00385FEA" w:rsidRPr="00AB5394" w:rsidTr="00385FEA">
        <w:tc>
          <w:tcPr>
            <w:tcW w:w="6771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left="42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一、能符應學校發展現況及教師專業成長需求之評估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20%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6771" w:type="dxa"/>
          </w:tcPr>
          <w:p w:rsidR="00385FEA" w:rsidRPr="00AB5394" w:rsidRDefault="00385FEA" w:rsidP="009115ED">
            <w:pPr>
              <w:snapToGrid w:val="0"/>
              <w:spacing w:line="600" w:lineRule="exact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二、專業社群運作之整體規劃及行政</w:t>
            </w:r>
            <w:r w:rsidR="009115ED"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資源與鼓勵措施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具可行性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20%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6771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left="420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三、社群之運作及規劃能達成年度目標及預期效益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20%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6771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四、社群之召集人及成員組成適切，成員有共同願景</w:t>
            </w:r>
            <w:r w:rsidR="002802C0"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志趣</w:t>
            </w:r>
            <w:r w:rsidR="002802C0"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樂於分工分享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20%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6771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五、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經費編列之合理性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10%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6771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六、</w:t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其他審查原則</w:t>
            </w:r>
          </w:p>
        </w:tc>
        <w:tc>
          <w:tcPr>
            <w:tcW w:w="1417" w:type="dxa"/>
          </w:tcPr>
          <w:p w:rsidR="00385FEA" w:rsidRPr="00AB5394" w:rsidRDefault="00385FEA" w:rsidP="00385FEA">
            <w:pPr>
              <w:snapToGrid w:val="0"/>
              <w:spacing w:line="600" w:lineRule="exac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10%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8188" w:type="dxa"/>
            <w:gridSpan w:val="2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總得分</w:t>
            </w:r>
          </w:p>
        </w:tc>
        <w:tc>
          <w:tcPr>
            <w:tcW w:w="1134" w:type="dxa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85FEA" w:rsidRPr="00AB5394" w:rsidTr="00385FEA">
        <w:tc>
          <w:tcPr>
            <w:tcW w:w="9322" w:type="dxa"/>
            <w:gridSpan w:val="3"/>
          </w:tcPr>
          <w:p w:rsidR="00385FEA" w:rsidRPr="00AB5394" w:rsidRDefault="00385FEA" w:rsidP="00CD308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審查結果 □通過補助</w:t>
            </w:r>
            <w:r w:rsidRPr="00AB5394">
              <w:rPr>
                <w:rFonts w:ascii="標楷體" w:eastAsia="標楷體" w:hAnsi="標楷體"/>
                <w:color w:val="000000" w:themeColor="text1"/>
                <w:sz w:val="28"/>
              </w:rPr>
              <w:softHyphen/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softHyphen/>
            </w:r>
            <w:r w:rsidRPr="00AB5394">
              <w:rPr>
                <w:rFonts w:ascii="標楷體" w:eastAsia="標楷體" w:hAnsi="標楷體"/>
                <w:color w:val="000000" w:themeColor="text1"/>
                <w:sz w:val="28"/>
              </w:rPr>
              <w:softHyphen/>
            </w: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_______元   </w:t>
            </w:r>
          </w:p>
        </w:tc>
      </w:tr>
      <w:tr w:rsidR="00385FEA" w:rsidRPr="00AB5394" w:rsidTr="00385FEA">
        <w:tc>
          <w:tcPr>
            <w:tcW w:w="9322" w:type="dxa"/>
            <w:gridSpan w:val="3"/>
          </w:tcPr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AB5394">
              <w:rPr>
                <w:rFonts w:ascii="標楷體" w:eastAsia="標楷體" w:hAnsi="標楷體" w:hint="eastAsia"/>
                <w:color w:val="000000" w:themeColor="text1"/>
                <w:sz w:val="28"/>
              </w:rPr>
              <w:t>建議:</w:t>
            </w:r>
          </w:p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385FEA" w:rsidRPr="00AB5394" w:rsidRDefault="00385FEA" w:rsidP="00385FEA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385FEA" w:rsidRPr="00AB5394" w:rsidRDefault="00385FEA" w:rsidP="002E0346">
      <w:pPr>
        <w:snapToGrid w:val="0"/>
        <w:spacing w:line="440" w:lineRule="exact"/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</w:rPr>
      </w:pPr>
    </w:p>
    <w:p w:rsidR="00D34D34" w:rsidRPr="00AB5394" w:rsidRDefault="00D91A1E" w:rsidP="00D91A1E">
      <w:pPr>
        <w:snapToGrid w:val="0"/>
        <w:spacing w:line="440" w:lineRule="exact"/>
        <w:ind w:firstLineChars="100" w:firstLine="360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審查委員簽名：</w:t>
      </w:r>
    </w:p>
    <w:p w:rsidR="00D91A1E" w:rsidRPr="00AB5394" w:rsidRDefault="00D91A1E" w:rsidP="00D91A1E">
      <w:pPr>
        <w:snapToGrid w:val="0"/>
        <w:spacing w:line="440" w:lineRule="exact"/>
        <w:ind w:firstLineChars="100" w:firstLine="360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91A1E" w:rsidRPr="00AB5394" w:rsidRDefault="00D91A1E" w:rsidP="00D91A1E">
      <w:pPr>
        <w:snapToGrid w:val="0"/>
        <w:spacing w:line="440" w:lineRule="exact"/>
        <w:ind w:firstLineChars="100" w:firstLine="360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91A1E" w:rsidRPr="00AB5394" w:rsidRDefault="00D91A1E" w:rsidP="00D91A1E">
      <w:pPr>
        <w:snapToGrid w:val="0"/>
        <w:spacing w:line="440" w:lineRule="exact"/>
        <w:ind w:firstLineChars="100" w:firstLine="360"/>
        <w:jc w:val="both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B539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_______________________________________________</w:t>
      </w:r>
    </w:p>
    <w:sectPr w:rsidR="00D91A1E" w:rsidRPr="00AB5394" w:rsidSect="000B7EA0">
      <w:footerReference w:type="default" r:id="rId8"/>
      <w:pgSz w:w="11906" w:h="16838" w:code="9"/>
      <w:pgMar w:top="1418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B3" w:rsidRDefault="00A16CB3" w:rsidP="00BF12B0">
      <w:r>
        <w:separator/>
      </w:r>
    </w:p>
  </w:endnote>
  <w:endnote w:type="continuationSeparator" w:id="0">
    <w:p w:rsidR="00A16CB3" w:rsidRDefault="00A16CB3" w:rsidP="00BF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1376"/>
      <w:docPartObj>
        <w:docPartGallery w:val="Page Numbers (Bottom of Page)"/>
        <w:docPartUnique/>
      </w:docPartObj>
    </w:sdtPr>
    <w:sdtEndPr/>
    <w:sdtContent>
      <w:p w:rsidR="00303E63" w:rsidRDefault="006C0316">
        <w:pPr>
          <w:pStyle w:val="a5"/>
          <w:jc w:val="center"/>
        </w:pPr>
        <w:r>
          <w:fldChar w:fldCharType="begin"/>
        </w:r>
        <w:r w:rsidR="00BD0FA8">
          <w:instrText xml:space="preserve"> PAGE   \* MERGEFORMAT </w:instrText>
        </w:r>
        <w:r>
          <w:fldChar w:fldCharType="separate"/>
        </w:r>
        <w:r w:rsidR="00CF690B" w:rsidRPr="00CF690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03E63" w:rsidRDefault="00303E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B3" w:rsidRDefault="00A16CB3" w:rsidP="00BF12B0">
      <w:r>
        <w:separator/>
      </w:r>
    </w:p>
  </w:footnote>
  <w:footnote w:type="continuationSeparator" w:id="0">
    <w:p w:rsidR="00A16CB3" w:rsidRDefault="00A16CB3" w:rsidP="00BF1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EA"/>
    <w:rsid w:val="000014D8"/>
    <w:rsid w:val="00004A48"/>
    <w:rsid w:val="00023219"/>
    <w:rsid w:val="000318C9"/>
    <w:rsid w:val="000524CF"/>
    <w:rsid w:val="000566F7"/>
    <w:rsid w:val="00060076"/>
    <w:rsid w:val="0007313F"/>
    <w:rsid w:val="000734A9"/>
    <w:rsid w:val="000B7EA0"/>
    <w:rsid w:val="000C1D70"/>
    <w:rsid w:val="000C4E2F"/>
    <w:rsid w:val="000E5EA3"/>
    <w:rsid w:val="000F5FDF"/>
    <w:rsid w:val="000F65BE"/>
    <w:rsid w:val="0013056F"/>
    <w:rsid w:val="00187251"/>
    <w:rsid w:val="00187510"/>
    <w:rsid w:val="001917E5"/>
    <w:rsid w:val="001B1876"/>
    <w:rsid w:val="001C0CCD"/>
    <w:rsid w:val="001E0669"/>
    <w:rsid w:val="00212DDC"/>
    <w:rsid w:val="0021443C"/>
    <w:rsid w:val="00243E45"/>
    <w:rsid w:val="00254328"/>
    <w:rsid w:val="002750D2"/>
    <w:rsid w:val="002802C0"/>
    <w:rsid w:val="002E0346"/>
    <w:rsid w:val="002F1AED"/>
    <w:rsid w:val="00303E63"/>
    <w:rsid w:val="00313FEA"/>
    <w:rsid w:val="00325D23"/>
    <w:rsid w:val="0033336C"/>
    <w:rsid w:val="00355605"/>
    <w:rsid w:val="00385CBC"/>
    <w:rsid w:val="00385FEA"/>
    <w:rsid w:val="00393FE8"/>
    <w:rsid w:val="00397876"/>
    <w:rsid w:val="003A2DF8"/>
    <w:rsid w:val="003A5C63"/>
    <w:rsid w:val="003B2582"/>
    <w:rsid w:val="003D7F6B"/>
    <w:rsid w:val="003F6D58"/>
    <w:rsid w:val="00411987"/>
    <w:rsid w:val="00412A82"/>
    <w:rsid w:val="00416657"/>
    <w:rsid w:val="00416D5C"/>
    <w:rsid w:val="00453486"/>
    <w:rsid w:val="00455C53"/>
    <w:rsid w:val="00484325"/>
    <w:rsid w:val="004928D9"/>
    <w:rsid w:val="00492CB3"/>
    <w:rsid w:val="004A2109"/>
    <w:rsid w:val="004A779F"/>
    <w:rsid w:val="004B3FA5"/>
    <w:rsid w:val="004E371C"/>
    <w:rsid w:val="004E478E"/>
    <w:rsid w:val="00522699"/>
    <w:rsid w:val="00530ACE"/>
    <w:rsid w:val="005472EF"/>
    <w:rsid w:val="0056668B"/>
    <w:rsid w:val="005C4549"/>
    <w:rsid w:val="005C7E19"/>
    <w:rsid w:val="005D2B48"/>
    <w:rsid w:val="005E36D8"/>
    <w:rsid w:val="005F2C31"/>
    <w:rsid w:val="005F36E0"/>
    <w:rsid w:val="005F663F"/>
    <w:rsid w:val="00622AA6"/>
    <w:rsid w:val="00625B5D"/>
    <w:rsid w:val="006263D4"/>
    <w:rsid w:val="00626DFE"/>
    <w:rsid w:val="00627C27"/>
    <w:rsid w:val="0063557B"/>
    <w:rsid w:val="0065578F"/>
    <w:rsid w:val="006B06B9"/>
    <w:rsid w:val="006C0316"/>
    <w:rsid w:val="006F3F23"/>
    <w:rsid w:val="007041C7"/>
    <w:rsid w:val="007100E4"/>
    <w:rsid w:val="007479F2"/>
    <w:rsid w:val="0076638C"/>
    <w:rsid w:val="00785DD1"/>
    <w:rsid w:val="007D46FC"/>
    <w:rsid w:val="007E07DE"/>
    <w:rsid w:val="007E32F5"/>
    <w:rsid w:val="00813837"/>
    <w:rsid w:val="00854145"/>
    <w:rsid w:val="00854177"/>
    <w:rsid w:val="00855C3E"/>
    <w:rsid w:val="008853D2"/>
    <w:rsid w:val="0089018A"/>
    <w:rsid w:val="008C4B90"/>
    <w:rsid w:val="008C5C97"/>
    <w:rsid w:val="008C6E08"/>
    <w:rsid w:val="009115ED"/>
    <w:rsid w:val="00923C04"/>
    <w:rsid w:val="00945E97"/>
    <w:rsid w:val="00996C35"/>
    <w:rsid w:val="009B57CA"/>
    <w:rsid w:val="009C14F9"/>
    <w:rsid w:val="009E074C"/>
    <w:rsid w:val="009E353E"/>
    <w:rsid w:val="00A16CB3"/>
    <w:rsid w:val="00A46BBC"/>
    <w:rsid w:val="00A74D92"/>
    <w:rsid w:val="00A94CDD"/>
    <w:rsid w:val="00A972CF"/>
    <w:rsid w:val="00AB5394"/>
    <w:rsid w:val="00AC616B"/>
    <w:rsid w:val="00AF4DCF"/>
    <w:rsid w:val="00B03A45"/>
    <w:rsid w:val="00B05F3B"/>
    <w:rsid w:val="00B07A09"/>
    <w:rsid w:val="00B10540"/>
    <w:rsid w:val="00B37F89"/>
    <w:rsid w:val="00B41C34"/>
    <w:rsid w:val="00B43CF7"/>
    <w:rsid w:val="00B57558"/>
    <w:rsid w:val="00B91B89"/>
    <w:rsid w:val="00B93BCB"/>
    <w:rsid w:val="00BA2FF2"/>
    <w:rsid w:val="00BB438C"/>
    <w:rsid w:val="00BB646D"/>
    <w:rsid w:val="00BC577F"/>
    <w:rsid w:val="00BD0FA8"/>
    <w:rsid w:val="00BE644B"/>
    <w:rsid w:val="00BF12B0"/>
    <w:rsid w:val="00C01122"/>
    <w:rsid w:val="00C1798A"/>
    <w:rsid w:val="00C56A6E"/>
    <w:rsid w:val="00C70A86"/>
    <w:rsid w:val="00C730FD"/>
    <w:rsid w:val="00C76723"/>
    <w:rsid w:val="00C928F1"/>
    <w:rsid w:val="00CA5679"/>
    <w:rsid w:val="00CD1F48"/>
    <w:rsid w:val="00CD308C"/>
    <w:rsid w:val="00CE0B83"/>
    <w:rsid w:val="00CE21C6"/>
    <w:rsid w:val="00CE6391"/>
    <w:rsid w:val="00CF690B"/>
    <w:rsid w:val="00D3211E"/>
    <w:rsid w:val="00D34D34"/>
    <w:rsid w:val="00D50752"/>
    <w:rsid w:val="00D54319"/>
    <w:rsid w:val="00D80062"/>
    <w:rsid w:val="00D8214F"/>
    <w:rsid w:val="00D91A1E"/>
    <w:rsid w:val="00DA7972"/>
    <w:rsid w:val="00DB02D4"/>
    <w:rsid w:val="00DE01E5"/>
    <w:rsid w:val="00DF53C0"/>
    <w:rsid w:val="00DF7B39"/>
    <w:rsid w:val="00E06EAF"/>
    <w:rsid w:val="00E11BB5"/>
    <w:rsid w:val="00E12E66"/>
    <w:rsid w:val="00E301F4"/>
    <w:rsid w:val="00E33A13"/>
    <w:rsid w:val="00E52AAB"/>
    <w:rsid w:val="00E61ADF"/>
    <w:rsid w:val="00E64532"/>
    <w:rsid w:val="00E73D76"/>
    <w:rsid w:val="00E74E46"/>
    <w:rsid w:val="00E76758"/>
    <w:rsid w:val="00E914DD"/>
    <w:rsid w:val="00EB5910"/>
    <w:rsid w:val="00EE198A"/>
    <w:rsid w:val="00EE6F92"/>
    <w:rsid w:val="00EF282A"/>
    <w:rsid w:val="00EF45AC"/>
    <w:rsid w:val="00F03F26"/>
    <w:rsid w:val="00F22AEA"/>
    <w:rsid w:val="00F24216"/>
    <w:rsid w:val="00F55359"/>
    <w:rsid w:val="00F6013C"/>
    <w:rsid w:val="00F736E2"/>
    <w:rsid w:val="00F77720"/>
    <w:rsid w:val="00F822F2"/>
    <w:rsid w:val="00F869D3"/>
    <w:rsid w:val="00F9140B"/>
    <w:rsid w:val="00FA35C0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B43CF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rsid w:val="00BF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F12B0"/>
    <w:rPr>
      <w:kern w:val="2"/>
    </w:rPr>
  </w:style>
  <w:style w:type="paragraph" w:styleId="a5">
    <w:name w:val="footer"/>
    <w:basedOn w:val="a"/>
    <w:link w:val="a6"/>
    <w:uiPriority w:val="99"/>
    <w:rsid w:val="00BF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2B0"/>
    <w:rPr>
      <w:kern w:val="2"/>
    </w:rPr>
  </w:style>
  <w:style w:type="table" w:styleId="-2">
    <w:name w:val="Light Grid Accent 2"/>
    <w:basedOn w:val="a1"/>
    <w:uiPriority w:val="62"/>
    <w:rsid w:val="00BF12B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7">
    <w:name w:val="Table Grid"/>
    <w:basedOn w:val="a1"/>
    <w:rsid w:val="00BF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3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B43CF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3">
    <w:name w:val="header"/>
    <w:basedOn w:val="a"/>
    <w:link w:val="a4"/>
    <w:rsid w:val="00BF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F12B0"/>
    <w:rPr>
      <w:kern w:val="2"/>
    </w:rPr>
  </w:style>
  <w:style w:type="paragraph" w:styleId="a5">
    <w:name w:val="footer"/>
    <w:basedOn w:val="a"/>
    <w:link w:val="a6"/>
    <w:uiPriority w:val="99"/>
    <w:rsid w:val="00BF1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2B0"/>
    <w:rPr>
      <w:kern w:val="2"/>
    </w:rPr>
  </w:style>
  <w:style w:type="table" w:styleId="-2">
    <w:name w:val="Light Grid Accent 2"/>
    <w:basedOn w:val="a1"/>
    <w:uiPriority w:val="62"/>
    <w:rsid w:val="00BF12B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7">
    <w:name w:val="Table Grid"/>
    <w:basedOn w:val="a1"/>
    <w:rsid w:val="00BF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B098F-95B9-4CD9-8CA8-B1B89031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2033</Words>
  <Characters>388</Characters>
  <Application>Microsoft Office Word</Application>
  <DocSecurity>0</DocSecurity>
  <Lines>3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Your User Name</cp:lastModifiedBy>
  <cp:revision>2</cp:revision>
  <cp:lastPrinted>2013-04-19T08:18:00Z</cp:lastPrinted>
  <dcterms:created xsi:type="dcterms:W3CDTF">2013-04-26T01:23:00Z</dcterms:created>
  <dcterms:modified xsi:type="dcterms:W3CDTF">2013-04-26T01:23:00Z</dcterms:modified>
</cp:coreProperties>
</file>